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0AD5">
      <w:pPr>
        <w:pStyle w:val="4"/>
        <w:rPr>
          <w:rFonts w:hint="default" w:ascii="黑体" w:eastAsia="黑体"/>
          <w:b w:val="0"/>
          <w:kern w:val="2"/>
          <w:sz w:val="32"/>
          <w:szCs w:val="32"/>
        </w:rPr>
      </w:pPr>
      <w:r>
        <w:rPr>
          <w:rFonts w:ascii="黑体" w:eastAsia="黑体"/>
          <w:b w:val="0"/>
          <w:kern w:val="2"/>
          <w:sz w:val="32"/>
          <w:szCs w:val="32"/>
        </w:rPr>
        <w:t>附件3</w:t>
      </w:r>
    </w:p>
    <w:p w14:paraId="700A8F9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171A1D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171A1D"/>
          <w:sz w:val="44"/>
          <w:szCs w:val="44"/>
          <w:shd w:val="clear" w:color="auto" w:fill="FFFFFF"/>
        </w:rPr>
        <w:t>省知识产权奖申报须知</w:t>
      </w:r>
    </w:p>
    <w:bookmarkEnd w:id="0"/>
    <w:p w14:paraId="57198434">
      <w:pPr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C0986CB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根据《浙江省人民政府办公厅关于印发浙江省人民政府质量奖（省知识产权奖）管理办法的通知》（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浙政办发〔2025〕32号），省市场监管局（省知识产权局）即日起组织开展浙</w:t>
      </w:r>
      <w:r>
        <w:rPr>
          <w:rFonts w:hint="eastAsia" w:ascii="仿宋_GB2312" w:hAnsi="仿宋_GB2312" w:eastAsia="仿宋_GB2312" w:cs="仿宋_GB2312"/>
          <w:sz w:val="32"/>
        </w:rPr>
        <w:t>江省知识产权奖申报工作。</w:t>
      </w:r>
      <w:r>
        <w:rPr>
          <w:rFonts w:hint="eastAsia" w:ascii="仿宋_GB2312" w:hAnsi="宋体" w:eastAsia="仿宋_GB2312"/>
          <w:sz w:val="32"/>
          <w:szCs w:val="32"/>
        </w:rPr>
        <w:t>现就有关事项说明如下：</w:t>
      </w:r>
    </w:p>
    <w:p w14:paraId="275E3182">
      <w:pPr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一、申报推荐奖项</w:t>
      </w:r>
    </w:p>
    <w:p w14:paraId="3921D118">
      <w:pPr>
        <w:spacing w:line="600" w:lineRule="exact"/>
        <w:ind w:firstLine="640"/>
        <w:rPr>
          <w:rFonts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申报推荐奖项</w:t>
      </w:r>
      <w:r>
        <w:rPr>
          <w:rFonts w:hint="eastAsia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浙江省知识产权大奖（以下简称大奖），专利奖、商标奖、版权和其他知识产权奖</w:t>
      </w:r>
      <w:r>
        <w:rPr>
          <w:rFonts w:hint="eastAsia" w:eastAsia="仿宋_GB2312" w:cs="Times New Roman"/>
          <w:sz w:val="32"/>
          <w:szCs w:val="32"/>
        </w:rPr>
        <w:t>（以下统称门类奖）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 w:cs="Times New Roman"/>
          <w:sz w:val="32"/>
          <w:szCs w:val="32"/>
        </w:rPr>
        <w:t xml:space="preserve"> </w:t>
      </w:r>
    </w:p>
    <w:p w14:paraId="2F1D63F9">
      <w:pPr>
        <w:numPr>
          <w:ilvl w:val="255"/>
          <w:numId w:val="0"/>
        </w:numPr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二、资格条件</w:t>
      </w:r>
    </w:p>
    <w:p w14:paraId="04C57A10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评选的知识产权项目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及项目申报主体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应当符合以下基本资格条件：</w:t>
      </w:r>
    </w:p>
    <w:p w14:paraId="15417E8F">
      <w:pPr>
        <w:spacing w:line="580" w:lineRule="exact"/>
        <w:ind w:firstLine="640" w:firstLineChars="200"/>
        <w:outlineLvl w:val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）评选项目资格条件</w:t>
      </w:r>
    </w:p>
    <w:p w14:paraId="7AB96BF4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1.评选的知识产权项目应当取得依法要求</w:t>
      </w:r>
      <w:r>
        <w:rPr>
          <w:rFonts w:ascii="Times New Roman" w:hAnsi="Times New Roman" w:eastAsia="仿宋_GB2312" w:cs="Times New Roman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相关行政许可、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确认、</w:t>
      </w:r>
      <w:r>
        <w:rPr>
          <w:rFonts w:ascii="Times New Roman" w:hAnsi="Times New Roman" w:eastAsia="仿宋_GB2312" w:cs="Times New Roman"/>
          <w:sz w:val="32"/>
          <w:szCs w:val="32"/>
        </w:rPr>
        <w:t>备案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66A73DF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2.评选的知识产权项目应当在权利有效期内且稳定有效，没有</w:t>
      </w:r>
      <w:r>
        <w:rPr>
          <w:rFonts w:ascii="Times New Roman" w:hAnsi="Times New Roman" w:eastAsia="仿宋_GB2312" w:cs="Times New Roman"/>
          <w:sz w:val="32"/>
          <w:szCs w:val="32"/>
        </w:rPr>
        <w:t>权属争议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D8C6610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3.评选的知识产权项目</w:t>
      </w:r>
      <w:r>
        <w:rPr>
          <w:rFonts w:ascii="Times New Roman" w:hAnsi="Times New Roman" w:eastAsia="仿宋_GB2312" w:cs="Times New Roman"/>
          <w:sz w:val="32"/>
          <w:szCs w:val="32"/>
        </w:rPr>
        <w:t>有多个权利人的，须得到所有权利人同意。</w:t>
      </w:r>
    </w:p>
    <w:p w14:paraId="5BBE038A">
      <w:pPr>
        <w:spacing w:line="58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已经获评大奖的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，不得再次评选大奖。已经获评</w:t>
      </w:r>
      <w:r>
        <w:rPr>
          <w:rFonts w:ascii="Times New Roman" w:hAnsi="Times New Roman" w:eastAsia="仿宋_GB2312" w:cs="Times New Roman"/>
          <w:sz w:val="32"/>
          <w:szCs w:val="32"/>
        </w:rPr>
        <w:t>门类奖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，不得再次评选</w:t>
      </w:r>
      <w:r>
        <w:rPr>
          <w:rFonts w:ascii="Times New Roman" w:hAnsi="Times New Roman" w:eastAsia="仿宋_GB2312" w:cs="Times New Roman"/>
          <w:sz w:val="32"/>
          <w:szCs w:val="32"/>
        </w:rPr>
        <w:t>门类奖</w:t>
      </w:r>
      <w:r>
        <w:rPr>
          <w:rFonts w:hint="eastAsia" w:ascii="Times New Roman" w:hAnsi="Times New Roman" w:eastAsia="黑体" w:cs="Times New Roman"/>
          <w:sz w:val="32"/>
          <w:szCs w:val="32"/>
        </w:rPr>
        <w:t>。</w:t>
      </w:r>
    </w:p>
    <w:p w14:paraId="364CBEEF">
      <w:pPr>
        <w:spacing w:line="580" w:lineRule="exact"/>
        <w:ind w:firstLine="640" w:firstLineChars="200"/>
        <w:outlineLvl w:val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项目申报主体</w:t>
      </w:r>
      <w:r>
        <w:rPr>
          <w:rFonts w:hint="eastAsia" w:ascii="楷体_GB2312" w:hAnsi="楷体_GB2312" w:eastAsia="楷体_GB2312" w:cs="楷体_GB2312"/>
          <w:sz w:val="32"/>
          <w:szCs w:val="32"/>
        </w:rPr>
        <w:t>资格条件</w:t>
      </w:r>
    </w:p>
    <w:p w14:paraId="0083E19B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1.应当</w:t>
      </w:r>
      <w:r>
        <w:rPr>
          <w:rFonts w:ascii="Times New Roman" w:hAnsi="Times New Roman" w:eastAsia="仿宋_GB2312" w:cs="Times New Roman"/>
          <w:sz w:val="32"/>
          <w:szCs w:val="32"/>
        </w:rPr>
        <w:t>拥护党的路线方针政策，遵守国家法律、法规，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具有良好的</w:t>
      </w:r>
      <w:r>
        <w:rPr>
          <w:rFonts w:ascii="Times New Roman" w:hAnsi="Times New Roman" w:eastAsia="仿宋_GB2312" w:cs="Times New Roman"/>
          <w:sz w:val="32"/>
          <w:szCs w:val="32"/>
        </w:rPr>
        <w:t>社会形象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CE71470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项目申报主体为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</w:t>
      </w:r>
      <w:r>
        <w:rPr>
          <w:rFonts w:ascii="Times New Roman" w:hAnsi="Times New Roman" w:eastAsia="仿宋_GB2312" w:cs="Times New Roman"/>
          <w:sz w:val="32"/>
          <w:szCs w:val="32"/>
        </w:rPr>
        <w:t>在本省注册并持续运营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年以上，经营状况良好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EFBD90A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项目申报主体为个人的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，应当</w:t>
      </w:r>
      <w:r>
        <w:rPr>
          <w:rFonts w:ascii="Times New Roman" w:hAnsi="Times New Roman" w:eastAsia="仿宋_GB2312" w:cs="Times New Roman"/>
          <w:sz w:val="32"/>
          <w:szCs w:val="32"/>
        </w:rPr>
        <w:t>为本省常住居民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且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主要知识产权活动在本省行政区域内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进行。本省常住居民包括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本省户籍居民、实际在本省工作或生活的其他居民。</w:t>
      </w:r>
    </w:p>
    <w:p w14:paraId="73C6C59E">
      <w:pPr>
        <w:spacing w:line="580" w:lineRule="exact"/>
        <w:ind w:firstLine="672" w:firstLineChars="200"/>
        <w:outlineLvl w:val="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近3年各级质量安全监督检查合格，无重大质量、安全、环保等事故（按照国家有关规定认定），无侵犯他人知识产权被刑事处罚、行政处罚情形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无因组织责任导致的重大有效投诉，未被列入严重失信名单，无其他严重违法违规行为。</w:t>
      </w:r>
    </w:p>
    <w:p w14:paraId="2876676A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5.各级党委、政府及所属部门，人大、政协、法院、检察院、民主党派、人民团体等按照（参照）《中华人民共和国公务员法》管理的组织不得作为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项目申报主体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D476149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公务员以及参照《中华人民共和国公务员法》管理的人员，一般不得作为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项目申报主体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；曾在企事业单位从事知识产权工作、现为公务员或参照《中华人民共和国公务员法》管理的人员作为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项目申报主体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的，其参评的知识产权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应当在企事业单位工作期间取得。</w:t>
      </w:r>
    </w:p>
    <w:p w14:paraId="0B74C228">
      <w:pPr>
        <w:spacing w:line="600" w:lineRule="exact"/>
        <w:ind w:firstLine="640" w:firstLineChars="200"/>
        <w:outlineLvl w:val="0"/>
        <w:rPr>
          <w:rFonts w:ascii="Times New Roman" w:hAnsi="Times New Roman" w:eastAsia="楷体_GB2312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三、申报推荐要求</w:t>
      </w:r>
    </w:p>
    <w:p w14:paraId="329B03ED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（一）大奖申报推荐要求</w:t>
      </w:r>
    </w:p>
    <w:p w14:paraId="048D6CB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sz w:val="32"/>
          <w:szCs w:val="32"/>
        </w:rPr>
        <w:t>科技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主管部门</w:t>
      </w:r>
      <w:r>
        <w:rPr>
          <w:rFonts w:ascii="Times New Roman" w:hAnsi="Times New Roman" w:eastAsia="仿宋_GB2312" w:cs="Times New Roman"/>
          <w:sz w:val="32"/>
          <w:szCs w:val="32"/>
        </w:rPr>
        <w:t>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省（部）属</w:t>
      </w:r>
      <w:r>
        <w:rPr>
          <w:rFonts w:ascii="Times New Roman" w:hAnsi="Times New Roman" w:eastAsia="仿宋_GB2312" w:cs="Times New Roman"/>
          <w:sz w:val="32"/>
          <w:szCs w:val="32"/>
        </w:rPr>
        <w:t>科研院所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、省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sz w:val="32"/>
          <w:szCs w:val="32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主管部门</w:t>
      </w:r>
      <w:r>
        <w:rPr>
          <w:rFonts w:ascii="Times New Roman" w:hAnsi="Times New Roman" w:eastAsia="仿宋_GB2312" w:cs="Times New Roman"/>
          <w:sz w:val="32"/>
          <w:szCs w:val="32"/>
        </w:rPr>
        <w:t>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省（部）属</w:t>
      </w:r>
      <w:r>
        <w:rPr>
          <w:rFonts w:ascii="Times New Roman" w:hAnsi="Times New Roman" w:eastAsia="仿宋_GB2312" w:cs="Times New Roman"/>
          <w:sz w:val="32"/>
          <w:szCs w:val="32"/>
        </w:rPr>
        <w:t>高校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、省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级国有资产主管部门</w:t>
      </w:r>
      <w:r>
        <w:rPr>
          <w:rFonts w:ascii="Times New Roman" w:hAnsi="Times New Roman" w:eastAsia="仿宋_GB2312" w:cs="Times New Roman"/>
          <w:sz w:val="32"/>
          <w:szCs w:val="32"/>
        </w:rPr>
        <w:t>负责省属国企和中央在浙企业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、省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级知识产权主管部门</w:t>
      </w:r>
      <w:r>
        <w:rPr>
          <w:rFonts w:ascii="Times New Roman" w:hAnsi="Times New Roman" w:eastAsia="仿宋_GB2312" w:cs="Times New Roman"/>
          <w:sz w:val="32"/>
          <w:szCs w:val="32"/>
        </w:rPr>
        <w:t>负责其他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省（部）属有关单位推荐</w:t>
      </w:r>
      <w:r>
        <w:rPr>
          <w:rFonts w:ascii="Times New Roman" w:hAnsi="Times New Roman" w:eastAsia="仿宋_GB2312" w:cs="Times New Roman"/>
          <w:sz w:val="32"/>
          <w:szCs w:val="32"/>
        </w:rPr>
        <w:t>，可各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推荐不超过1</w:t>
      </w:r>
      <w:r>
        <w:rPr>
          <w:rFonts w:ascii="Times New Roman" w:hAnsi="Times New Roman" w:eastAsia="仿宋_GB2312" w:cs="Times New Roman"/>
          <w:sz w:val="32"/>
          <w:szCs w:val="32"/>
        </w:rPr>
        <w:t>项。</w:t>
      </w:r>
    </w:p>
    <w:p w14:paraId="6CCAE12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设区市政府可共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推荐14</w:t>
      </w:r>
      <w:r>
        <w:rPr>
          <w:rFonts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，其中，杭州、宁波、温州市政府可各推荐不超过2项，其他设区市政府可各推荐1项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6EA5A38">
      <w:pPr>
        <w:spacing w:line="600" w:lineRule="exact"/>
        <w:ind w:firstLine="640" w:firstLineChars="200"/>
        <w:outlineLvl w:val="0"/>
        <w:rPr>
          <w:rFonts w:ascii="Times New Roman" w:hAnsi="Times New Roman" w:eastAsia="楷体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sz w:val="32"/>
          <w:szCs w:val="32"/>
          <w:shd w:val="clear" w:color="auto" w:fill="FFFFFF"/>
        </w:rPr>
        <w:t>（二）门类奖申报推荐</w:t>
      </w:r>
      <w:r>
        <w:rPr>
          <w:rFonts w:hint="eastAsia" w:eastAsia="楷体_GB2312" w:cs="Times New Roman"/>
          <w:sz w:val="32"/>
          <w:szCs w:val="32"/>
          <w:shd w:val="clear" w:color="auto" w:fill="FFFFFF"/>
        </w:rPr>
        <w:t>要求</w:t>
      </w:r>
    </w:p>
    <w:p w14:paraId="19EF572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1.省（部）属有关单位</w:t>
      </w:r>
      <w:r>
        <w:rPr>
          <w:rFonts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包括省级各部门、省属高校、省属国企、</w:t>
      </w:r>
      <w:r>
        <w:rPr>
          <w:rFonts w:hint="eastAsia" w:ascii="Times New Roman" w:hAnsi="Times New Roman" w:eastAsia="仿宋_GB2312" w:cs="仿宋_GB2312"/>
          <w:color w:val="171A1D"/>
          <w:sz w:val="32"/>
          <w:szCs w:val="32"/>
          <w:shd w:val="clear" w:color="auto" w:fill="FFFFFF"/>
        </w:rPr>
        <w:t>在浙国家部（委）属单位、中央在浙企业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负责本单位及下属单位的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推荐。</w:t>
      </w:r>
      <w:r>
        <w:rPr>
          <w:rFonts w:ascii="Times New Roman" w:hAnsi="Times New Roman" w:eastAsia="仿宋_GB2312" w:cs="Times New Roman"/>
          <w:sz w:val="32"/>
          <w:szCs w:val="32"/>
        </w:rPr>
        <w:t>其中部属高校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推荐各</w:t>
      </w:r>
      <w:r>
        <w:rPr>
          <w:rFonts w:ascii="Times New Roman" w:hAnsi="Times New Roman" w:eastAsia="仿宋_GB2312" w:cs="Times New Roman"/>
          <w:sz w:val="32"/>
          <w:szCs w:val="32"/>
        </w:rPr>
        <w:t>不超过10项，</w:t>
      </w:r>
      <w:r>
        <w:rPr>
          <w:rFonts w:ascii="Times New Roman" w:hAnsi="Times New Roman" w:eastAsia="仿宋_GB2312" w:cs="Times New Roman"/>
          <w:sz w:val="32"/>
          <w:szCs w:val="32"/>
          <w:highlight w:val="yellow"/>
        </w:rPr>
        <w:t>省属博士学位授权高校、省实验室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t>、省级卫生健康主管部门推荐</w:t>
      </w:r>
      <w:r>
        <w:rPr>
          <w:rFonts w:ascii="Times New Roman" w:hAnsi="Times New Roman" w:eastAsia="仿宋_GB2312" w:cs="Times New Roman"/>
          <w:sz w:val="32"/>
          <w:szCs w:val="32"/>
          <w:highlight w:val="yellow"/>
        </w:rPr>
        <w:t>各不超过5项，其他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t>省（部）属有关单位推荐</w:t>
      </w:r>
      <w:r>
        <w:rPr>
          <w:rFonts w:ascii="Times New Roman" w:hAnsi="Times New Roman" w:eastAsia="仿宋_GB2312" w:cs="Times New Roman"/>
          <w:sz w:val="32"/>
          <w:szCs w:val="32"/>
          <w:highlight w:val="yellow"/>
        </w:rPr>
        <w:t>各不超过2项。</w:t>
      </w:r>
    </w:p>
    <w:p w14:paraId="0C527828">
      <w:pPr>
        <w:pStyle w:val="3"/>
        <w:spacing w:line="600" w:lineRule="exact"/>
        <w:ind w:firstLine="640"/>
        <w:jc w:val="both"/>
        <w:rPr>
          <w:rFonts w:ascii="Times New Roman" w:hAnsi="Times New Roman" w:eastAsia="仿宋_GB2312" w:cs="Times New Roman"/>
          <w:color w:val="FF0000"/>
          <w:sz w:val="32"/>
          <w:szCs w:val="32"/>
          <w:highlight w:val="yellow"/>
          <w:shd w:val="clear" w:color="auto" w:fill="FFFF0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各设区市政府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总量不超过4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65</w:t>
      </w:r>
      <w:r>
        <w:rPr>
          <w:rFonts w:ascii="Times New Roman" w:hAnsi="Times New Roman" w:eastAsia="仿宋_GB2312" w:cs="Times New Roman"/>
          <w:sz w:val="32"/>
          <w:szCs w:val="32"/>
        </w:rPr>
        <w:t>项。综合考量各地知识产权数量、质量、绩效等确定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数量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33C320B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四、申报推荐步骤</w:t>
      </w:r>
    </w:p>
    <w:p w14:paraId="4B9B2B8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sz w:val="32"/>
          <w:szCs w:val="32"/>
        </w:rPr>
        <w:t>一）动员部署。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推荐单位</w:t>
      </w:r>
      <w:r>
        <w:rPr>
          <w:rFonts w:hint="eastAsia"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动员部署，规范开展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项目申报主体</w:t>
      </w:r>
      <w:r>
        <w:rPr>
          <w:rFonts w:ascii="Times New Roman" w:hAnsi="Times New Roman" w:eastAsia="仿宋_GB2312" w:cs="Times New Roman"/>
          <w:sz w:val="32"/>
          <w:szCs w:val="32"/>
        </w:rPr>
        <w:t>按照要求，填写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相应的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</w:rPr>
        <w:t>表》《自我评价表》，并准备基本要件及相关佐证材料；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被推荐项目</w:t>
      </w:r>
      <w:r>
        <w:rPr>
          <w:rFonts w:ascii="Times New Roman" w:hAnsi="Times New Roman" w:eastAsia="仿宋_GB2312" w:cs="Times New Roman"/>
          <w:sz w:val="32"/>
          <w:szCs w:val="32"/>
        </w:rPr>
        <w:t>涉及多个权利人的，应签署《共有权利人知情同意书》。</w:t>
      </w:r>
    </w:p>
    <w:p w14:paraId="03BF3A1A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（二）审查核实。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</w:t>
      </w:r>
      <w:r>
        <w:rPr>
          <w:rFonts w:ascii="Times New Roman" w:hAnsi="Times New Roman" w:eastAsia="仿宋_GB2312" w:cs="Times New Roman"/>
          <w:sz w:val="32"/>
          <w:szCs w:val="32"/>
        </w:rPr>
        <w:t>将申报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ascii="Times New Roman" w:hAnsi="Times New Roman" w:eastAsia="仿宋_GB2312" w:cs="Times New Roman"/>
          <w:sz w:val="32"/>
          <w:szCs w:val="32"/>
        </w:rPr>
        <w:t>推荐名单先报省市场监管局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省知识产权局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，经省市场监管局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省知识产权局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对申报项目开展初审合格反馈后，再由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推荐单位</w:t>
      </w:r>
      <w:r>
        <w:rPr>
          <w:rFonts w:ascii="Times New Roman" w:hAnsi="Times New Roman" w:eastAsia="仿宋_GB2312" w:cs="Times New Roman"/>
          <w:sz w:val="32"/>
          <w:szCs w:val="32"/>
        </w:rPr>
        <w:t>对申报项目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及项目申报主体</w:t>
      </w:r>
      <w:r>
        <w:rPr>
          <w:rFonts w:ascii="Times New Roman" w:hAnsi="Times New Roman" w:eastAsia="仿宋_GB2312" w:cs="Times New Roman"/>
          <w:sz w:val="32"/>
          <w:szCs w:val="32"/>
        </w:rPr>
        <w:t>按照有关规定征求纪检监察机关和公安等部门意见。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其中，对国有企事业单位及其工作人员还应当按照管理权限征求组织人事、审计等部门意见；对企业及其工作人员征求人力社保、生态环境、应急管理、税务、市场监管、金融监管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意见，对非公有制企业及其工作人员增加征求统战、社会工作部门和工商联等意见；对社会组织及其工作人员征求社会工作、民政等部门和业务主管单位、行业主管部门意见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推荐单位对符合条件的</w:t>
      </w:r>
      <w:r>
        <w:rPr>
          <w:rFonts w:ascii="Times New Roman" w:hAnsi="Times New Roman" w:eastAsia="仿宋_GB2312" w:cs="Times New Roman"/>
          <w:sz w:val="32"/>
          <w:szCs w:val="32"/>
        </w:rPr>
        <w:t>申报项目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开展为期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个工作日的</w:t>
      </w:r>
      <w:r>
        <w:rPr>
          <w:rFonts w:ascii="Times New Roman" w:hAnsi="Times New Roman" w:eastAsia="仿宋_GB2312" w:cs="Times New Roman"/>
          <w:sz w:val="32"/>
          <w:szCs w:val="32"/>
        </w:rPr>
        <w:t>社会公示，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无异议后</w:t>
      </w:r>
      <w:r>
        <w:rPr>
          <w:rFonts w:ascii="Times New Roman" w:hAnsi="Times New Roman" w:eastAsia="仿宋_GB2312" w:cs="Times New Roman"/>
          <w:sz w:val="32"/>
          <w:szCs w:val="32"/>
        </w:rPr>
        <w:t>在相关《申报表》上签署推荐意见后报省市场监管局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省知识产权局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。设区市推荐意见须经设区市政府同意后报省市场监管局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省知识产权局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BDE802C"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）报送材料。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推荐单位</w:t>
      </w:r>
      <w:r>
        <w:rPr>
          <w:rFonts w:ascii="Times New Roman" w:hAnsi="Times New Roman" w:eastAsia="仿宋_GB2312" w:cs="Times New Roman"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被推荐项目申报主体</w:t>
      </w:r>
      <w:r>
        <w:rPr>
          <w:rFonts w:ascii="Times New Roman" w:hAnsi="Times New Roman" w:eastAsia="仿宋_GB2312" w:cs="Times New Roman"/>
          <w:sz w:val="32"/>
          <w:szCs w:val="32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浙江知识产权在线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—省知识产权奖评选</w:t>
      </w:r>
      <w:r>
        <w:rPr>
          <w:rFonts w:ascii="Times New Roman" w:hAnsi="Times New Roman" w:eastAsia="仿宋_GB2312" w:cs="Times New Roman"/>
          <w:sz w:val="32"/>
          <w:szCs w:val="32"/>
        </w:rPr>
        <w:t>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”（网址：https://zscqyjs.zjamr.zj.gov.cn/api/othing/cms/cxzl.html）</w:t>
      </w:r>
      <w:r>
        <w:rPr>
          <w:rFonts w:ascii="Times New Roman" w:hAnsi="Times New Roman" w:eastAsia="仿宋_GB2312" w:cs="Times New Roman"/>
          <w:sz w:val="32"/>
          <w:szCs w:val="32"/>
        </w:rPr>
        <w:t>提交电子版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申报材料</w:t>
      </w:r>
      <w:r>
        <w:rPr>
          <w:rFonts w:ascii="Times New Roman" w:hAnsi="Times New Roman" w:eastAsia="仿宋_GB2312" w:cs="Times New Roman"/>
          <w:sz w:val="32"/>
          <w:szCs w:val="32"/>
        </w:rPr>
        <w:t>，并将纸质版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申报材料（一式一</w:t>
      </w:r>
      <w:r>
        <w:rPr>
          <w:rFonts w:hint="eastAsia" w:ascii="仿宋_GB2312" w:hAnsi="Times New Roman" w:eastAsia="仿宋_GB2312" w:cs="仿宋_GB2312"/>
          <w:sz w:val="32"/>
          <w:szCs w:val="32"/>
        </w:rPr>
        <w:t>份并装订成册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寄送至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省市场监管局（省知识产权局）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6E8EFFC">
      <w:pPr>
        <w:spacing w:line="60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五、工作要求</w:t>
      </w:r>
    </w:p>
    <w:p w14:paraId="4551F9F4">
      <w:pPr>
        <w:spacing w:line="600" w:lineRule="exact"/>
        <w:ind w:firstLine="640" w:firstLineChars="200"/>
        <w:outlineLvl w:val="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申报推荐工作作为省知识产权奖评选第一步，关系评选工作质量和整体工作推进。各地各部门及有关主体要高度重视，加强领导，认真做好申报推荐工作，确保高质量完成申报推荐任务。</w:t>
      </w:r>
    </w:p>
    <w:p w14:paraId="023B4926">
      <w:pPr>
        <w:spacing w:line="60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（二）严格规范推荐。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各地各部门及有关主体要按照相关要求，科学制定推荐规则，全面开展动员部署，</w:t>
      </w:r>
      <w:r>
        <w:rPr>
          <w:rFonts w:hint="eastAsia" w:eastAsia="仿宋_GB2312" w:cs="仿宋_GB2312"/>
          <w:sz w:val="32"/>
          <w:szCs w:val="32"/>
          <w:shd w:val="clear" w:color="auto" w:fill="FFFFFF"/>
        </w:rPr>
        <w:t>严格审查被推荐者的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资格</w:t>
      </w:r>
      <w:r>
        <w:rPr>
          <w:rFonts w:hint="eastAsia" w:eastAsia="仿宋_GB2312" w:cs="仿宋_GB2312"/>
          <w:sz w:val="32"/>
          <w:szCs w:val="32"/>
          <w:shd w:val="clear" w:color="auto" w:fill="FFFFFF"/>
        </w:rPr>
        <w:t>条件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和</w:t>
      </w:r>
      <w:r>
        <w:rPr>
          <w:rFonts w:hint="eastAsia" w:eastAsia="仿宋_GB2312" w:cs="仿宋_GB2312"/>
          <w:sz w:val="32"/>
          <w:szCs w:val="32"/>
          <w:shd w:val="clear" w:color="auto" w:fill="FFFFFF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材料，规范</w:t>
      </w:r>
      <w:r>
        <w:rPr>
          <w:rFonts w:hint="eastAsia" w:eastAsia="仿宋_GB2312" w:cs="仿宋_GB2312"/>
          <w:sz w:val="32"/>
          <w:szCs w:val="32"/>
          <w:shd w:val="clear" w:color="auto" w:fill="FFFFFF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意见征求和推荐公示，</w:t>
      </w:r>
      <w:r>
        <w:rPr>
          <w:rFonts w:hint="eastAsia" w:eastAsia="仿宋_GB2312" w:cs="仿宋_GB2312"/>
          <w:sz w:val="32"/>
          <w:szCs w:val="32"/>
          <w:shd w:val="clear" w:color="auto" w:fill="FFFFFF"/>
        </w:rPr>
        <w:t>从严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落实各项要求，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确保推荐程序</w:t>
      </w:r>
      <w:r>
        <w:rPr>
          <w:rFonts w:hint="eastAsia" w:eastAsia="仿宋_GB2312" w:cs="Times New Roman"/>
          <w:sz w:val="32"/>
          <w:szCs w:val="32"/>
        </w:rPr>
        <w:t>严谨、规范、到位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10670FD">
      <w:pPr>
        <w:spacing w:line="600" w:lineRule="exact"/>
        <w:ind w:firstLine="640" w:firstLineChars="200"/>
        <w:outlineLvl w:val="0"/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（三）突出质量导向。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各地各部门及有关主体要坚持质量优先，严把推荐条件标准，注重好中选优、优中选精，突出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创新发展导向，确保所推荐的对象能够发挥示范引领作用，激发创造创新活力。</w:t>
      </w:r>
    </w:p>
    <w:p w14:paraId="19E80390">
      <w:pPr>
        <w:spacing w:line="600" w:lineRule="exact"/>
        <w:ind w:firstLine="64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（四）严肃纪律要求。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各地各部门及有关主体要积极履行相应责任，严格遵守相关法律法规和工作纪律要求，遵循诚实信用原则，实事求是做好推荐工作。各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推荐单位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和被推荐者不得弄虚作假、徇私舞弊，严禁以不正当手段参加评选。如有违反，</w:t>
      </w:r>
      <w:r>
        <w:rPr>
          <w:rFonts w:hint="eastAsia" w:eastAsia="仿宋_GB2312" w:cs="仿宋_GB2312"/>
          <w:sz w:val="32"/>
          <w:szCs w:val="32"/>
          <w:shd w:val="clear" w:color="auto" w:fill="FFFFFF"/>
        </w:rPr>
        <w:t>将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有关规定</w:t>
      </w:r>
      <w:r>
        <w:rPr>
          <w:rFonts w:hint="eastAsia" w:eastAsia="仿宋_GB2312" w:cs="Times New Roman"/>
          <w:sz w:val="32"/>
          <w:szCs w:val="32"/>
        </w:rPr>
        <w:t>予以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严肃处理。</w:t>
      </w:r>
    </w:p>
    <w:p w14:paraId="5F06615C">
      <w:pPr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省（部）属有关单位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设区市政府请于11月15日前将本单位推荐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工作联系人及联系方式报送省市场监管局（省知识产权局）。</w:t>
      </w:r>
    </w:p>
    <w:p w14:paraId="5B64810C">
      <w:pPr>
        <w:spacing w:line="580" w:lineRule="exact"/>
        <w:ind w:firstLine="64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省知识产权奖评选系统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开通时间为12月1日8时，填报截止时间为12月15日24时。逾期不予受理。</w:t>
      </w:r>
    </w:p>
    <w:p w14:paraId="3FA2D1F0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联系人：陈琳嘉、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方利翔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，电话：</w:t>
      </w:r>
      <w:r>
        <w:rPr>
          <w:rFonts w:ascii="Times New Roman" w:hAnsi="Times New Roman" w:eastAsia="仿宋_GB2312" w:cs="Times New Roman"/>
          <w:color w:val="171A1D"/>
          <w:sz w:val="32"/>
          <w:szCs w:val="32"/>
          <w:shd w:val="clear" w:color="auto" w:fill="FFFFFF"/>
        </w:rPr>
        <w:t>0571-8976</w:t>
      </w:r>
      <w:r>
        <w:rPr>
          <w:rFonts w:hint="eastAsia" w:ascii="Times New Roman" w:hAnsi="Times New Roman" w:eastAsia="仿宋_GB2312" w:cs="Times New Roman"/>
          <w:color w:val="171A1D"/>
          <w:sz w:val="32"/>
          <w:szCs w:val="32"/>
          <w:shd w:val="clear" w:color="auto" w:fill="FFFFFF"/>
        </w:rPr>
        <w:t>5201</w:t>
      </w:r>
      <w:r>
        <w:rPr>
          <w:rFonts w:ascii="Times New Roman" w:hAnsi="Times New Roman" w:eastAsia="仿宋_GB2312" w:cs="Times New Roman"/>
          <w:color w:val="171A1D"/>
          <w:sz w:val="32"/>
          <w:szCs w:val="32"/>
          <w:shd w:val="clear" w:color="auto" w:fill="FFFFFF"/>
        </w:rPr>
        <w:t>、89761351。</w:t>
      </w:r>
    </w:p>
    <w:p w14:paraId="60E3165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纸质材料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寄送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地址：浙江省杭州市西湖区莫干山路77号浙江省市场监管局知识产权发展处。</w:t>
      </w:r>
    </w:p>
    <w:p w14:paraId="20288905">
      <w:pPr>
        <w:spacing w:line="570" w:lineRule="exact"/>
        <w:ind w:firstLine="640" w:firstLineChars="200"/>
        <w:outlineLvl w:val="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</w:p>
    <w:p w14:paraId="74828B14">
      <w:pPr>
        <w:spacing w:line="570" w:lineRule="exact"/>
        <w:ind w:firstLine="640" w:firstLineChars="200"/>
        <w:outlineLvl w:val="0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附：1.</w:t>
      </w:r>
      <w:r>
        <w:fldChar w:fldCharType="begin"/>
      </w:r>
      <w:r>
        <w:instrText xml:space="preserve"> HYPERLINK "http://zjamr.zj.gov.cn/module/download/downfile.jsp?classid=0&amp;filename=2fed08b26a004ee48d0554f461d4dbed.docx" </w:instrText>
      </w:r>
      <w:r>
        <w:fldChar w:fldCharType="separate"/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浙江省知识产权奖申报表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、基本要件清单、自我</w:t>
      </w:r>
    </w:p>
    <w:p w14:paraId="43C264B9">
      <w:pPr>
        <w:spacing w:line="570" w:lineRule="exact"/>
        <w:ind w:firstLine="1600" w:firstLineChars="5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评价表</w:t>
      </w:r>
    </w:p>
    <w:p w14:paraId="50D7B478">
      <w:pPr>
        <w:spacing w:line="570" w:lineRule="exact"/>
        <w:ind w:left="1916" w:leftChars="760" w:hanging="320" w:hangingChars="100"/>
        <w:outlineLvl w:val="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2.浙江省知识产权奖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公示表</w:t>
      </w:r>
    </w:p>
    <w:p w14:paraId="24BE462C">
      <w:pPr>
        <w:spacing w:line="570" w:lineRule="exact"/>
        <w:ind w:firstLine="1600" w:firstLineChars="500"/>
        <w:outlineLvl w:val="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3.共有权利人知情同意书</w:t>
      </w:r>
    </w:p>
    <w:p w14:paraId="00697292">
      <w:pPr>
        <w:spacing w:line="570" w:lineRule="exact"/>
        <w:ind w:firstLine="1600" w:firstLineChars="500"/>
        <w:outlineLvl w:val="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4.浙江省知识产权奖设区市推荐名额分配建议表</w:t>
      </w:r>
    </w:p>
    <w:p w14:paraId="6CBBBC7A">
      <w:pPr>
        <w:spacing w:line="600" w:lineRule="exact"/>
        <w:ind w:firstLine="1600" w:firstLineChars="500"/>
        <w:outlineLvl w:val="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5.各设区市联系人及联系方式</w:t>
      </w:r>
    </w:p>
    <w:p w14:paraId="1DC21C33">
      <w:pPr>
        <w:pStyle w:val="2"/>
        <w:spacing w:after="0" w:line="600" w:lineRule="exact"/>
      </w:pPr>
    </w:p>
    <w:p w14:paraId="037ED9B4">
      <w:pPr>
        <w:spacing w:line="600" w:lineRule="exact"/>
        <w:ind w:firstLine="640" w:firstLineChars="200"/>
        <w:jc w:val="right"/>
        <w:outlineLvl w:val="0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</w:p>
    <w:p w14:paraId="4C18A7AC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644" w:right="1644" w:bottom="164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8794AD-28F1-42AE-AF55-56212D4118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61768F6-77F2-4EC5-B2BB-96848207CE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8BD30A4-B184-4C7D-AC7E-E2883DE2078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A5DCE64-B101-4CA3-83F0-067D08143A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E326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9E27A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9E27A">
                    <w:pPr>
                      <w:pStyle w:val="6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65B48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7224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C1AA5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51B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14"/>
    <w:rsid w:val="002854D7"/>
    <w:rsid w:val="0035406B"/>
    <w:rsid w:val="00594F9D"/>
    <w:rsid w:val="007342D4"/>
    <w:rsid w:val="007A7F4F"/>
    <w:rsid w:val="00B152C1"/>
    <w:rsid w:val="00B503EA"/>
    <w:rsid w:val="00DA54D0"/>
    <w:rsid w:val="00E32014"/>
    <w:rsid w:val="01AC75F0"/>
    <w:rsid w:val="02054F52"/>
    <w:rsid w:val="024D4B3F"/>
    <w:rsid w:val="045F6B9B"/>
    <w:rsid w:val="04B8274F"/>
    <w:rsid w:val="089416E2"/>
    <w:rsid w:val="0BE67BA2"/>
    <w:rsid w:val="0C0024BD"/>
    <w:rsid w:val="0E2E6909"/>
    <w:rsid w:val="108A108F"/>
    <w:rsid w:val="129640D0"/>
    <w:rsid w:val="14882CAB"/>
    <w:rsid w:val="15D53161"/>
    <w:rsid w:val="181C0688"/>
    <w:rsid w:val="1FD47FE6"/>
    <w:rsid w:val="24D829AF"/>
    <w:rsid w:val="290D27BA"/>
    <w:rsid w:val="2916166F"/>
    <w:rsid w:val="2C9F2793"/>
    <w:rsid w:val="2D53410B"/>
    <w:rsid w:val="33FD6121"/>
    <w:rsid w:val="34C9334A"/>
    <w:rsid w:val="36613D32"/>
    <w:rsid w:val="37377380"/>
    <w:rsid w:val="389B749B"/>
    <w:rsid w:val="3DCA0C19"/>
    <w:rsid w:val="41AC1994"/>
    <w:rsid w:val="444529B0"/>
    <w:rsid w:val="45007B27"/>
    <w:rsid w:val="47743CD8"/>
    <w:rsid w:val="4C7953AE"/>
    <w:rsid w:val="542A6D19"/>
    <w:rsid w:val="56B45E9F"/>
    <w:rsid w:val="5F5F22C1"/>
    <w:rsid w:val="5F6E1CDF"/>
    <w:rsid w:val="5FD9026A"/>
    <w:rsid w:val="603B13E0"/>
    <w:rsid w:val="61D51159"/>
    <w:rsid w:val="62A17DC7"/>
    <w:rsid w:val="63B15515"/>
    <w:rsid w:val="650301EE"/>
    <w:rsid w:val="66882EA5"/>
    <w:rsid w:val="672F50CE"/>
    <w:rsid w:val="69895EAF"/>
    <w:rsid w:val="6BAB17F2"/>
    <w:rsid w:val="6D2154EB"/>
    <w:rsid w:val="6D77332B"/>
    <w:rsid w:val="6E731D44"/>
    <w:rsid w:val="7169065D"/>
    <w:rsid w:val="719C0973"/>
    <w:rsid w:val="77F44231"/>
    <w:rsid w:val="77FF1415"/>
    <w:rsid w:val="7E0E3FB2"/>
    <w:rsid w:val="7EBFCFAD"/>
    <w:rsid w:val="8B4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next w:val="1"/>
    <w:qFormat/>
    <w:uiPriority w:val="0"/>
    <w:pPr>
      <w:spacing w:line="500" w:lineRule="exact"/>
      <w:ind w:firstLine="420"/>
    </w:pPr>
    <w:rPr>
      <w:sz w:val="28"/>
    </w:rPr>
  </w:style>
  <w:style w:type="character" w:customStyle="1" w:styleId="11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Char"/>
    <w:basedOn w:val="10"/>
    <w:link w:val="4"/>
    <w:qFormat/>
    <w:uiPriority w:val="0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2404</Words>
  <Characters>2511</Characters>
  <Lines>19</Lines>
  <Paragraphs>5</Paragraphs>
  <TotalTime>56</TotalTime>
  <ScaleCrop>false</ScaleCrop>
  <LinksUpToDate>false</LinksUpToDate>
  <CharactersWithSpaces>2512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2025-09-30T04:42:00Z</dcterms:created>
  <dc:creator>47812</dc:creator>
  <cp:lastModifiedBy>卓卓</cp:lastModifiedBy>
  <cp:lastPrinted>2025-10-27T10:06:00Z</cp:lastPrinted>
  <dcterms:modified xsi:type="dcterms:W3CDTF">2025-10-31T08:27:42Z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eyJoZGlkIjoiNDYxODUwNmE1ZjNjOGQxOWYxMGVkOGNhOTlhYzA4OGYiLCJ1c2VySWQiOiIxMDYyMDAwODI5In0=</vt:lpwstr>
  </property>
  <property fmtid="{D5CDD505-2E9C-101B-9397-08002B2CF9AE}" pid="4" name="ICV">
    <vt:lpwstr>D62D46B38934489493CACCE78E0C6995_12</vt:lpwstr>
  </property>
</Properties>
</file>