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2E2D">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14:paraId="0FE7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E17B787">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5E23524">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715EEB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5DED9D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14:paraId="0D3C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05369E9">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14:paraId="24ABCE6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推荐单位</w:t>
            </w:r>
            <w:bookmarkStart w:id="0" w:name="_GoBack"/>
            <w:bookmarkEnd w:id="0"/>
            <w:r>
              <w:rPr>
                <w:rFonts w:hint="eastAsia" w:ascii="仿宋_GB2312" w:hAnsi="仿宋_GB2312" w:eastAsia="仿宋_GB2312" w:cs="仿宋_GB2312"/>
                <w:color w:val="auto"/>
                <w:kern w:val="2"/>
                <w:sz w:val="24"/>
                <w:szCs w:val="24"/>
                <w:highlight w:val="none"/>
                <w:lang w:val="en-US" w:eastAsia="zh-CN" w:bidi="ar-SA"/>
              </w:rPr>
              <w:t>材料</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1C0CB5B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申报表</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7430C58">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060BDBA5">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3CBF9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D684108">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bottom w:val="single" w:color="auto" w:sz="4" w:space="0"/>
              <w:right w:val="single" w:color="auto" w:sz="4" w:space="0"/>
            </w:tcBorders>
            <w:noWrap w:val="0"/>
            <w:vAlign w:val="center"/>
          </w:tcPr>
          <w:p w14:paraId="4FD7484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6DDEB86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295D4C72">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推荐公示情况的证明材料（截图、照片等）</w:t>
            </w:r>
          </w:p>
          <w:p w14:paraId="629E51DC">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线下提交纸质件并盖单位章</w:t>
            </w:r>
          </w:p>
        </w:tc>
      </w:tr>
      <w:tr w14:paraId="3628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shd w:val="clear" w:color="auto" w:fill="auto"/>
            <w:noWrap w:val="0"/>
            <w:vAlign w:val="center"/>
          </w:tcPr>
          <w:p w14:paraId="2DD1884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restart"/>
            <w:tcBorders>
              <w:top w:val="single" w:color="auto" w:sz="4" w:space="0"/>
              <w:left w:val="single" w:color="auto" w:sz="4" w:space="0"/>
              <w:right w:val="single" w:color="auto" w:sz="4" w:space="0"/>
            </w:tcBorders>
            <w:noWrap w:val="0"/>
            <w:vAlign w:val="center"/>
          </w:tcPr>
          <w:p w14:paraId="114775B3">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被推荐者材料</w:t>
            </w:r>
          </w:p>
        </w:tc>
        <w:tc>
          <w:tcPr>
            <w:tcW w:w="880" w:type="dxa"/>
            <w:vMerge w:val="restart"/>
            <w:tcBorders>
              <w:top w:val="single" w:color="auto" w:sz="4" w:space="0"/>
              <w:left w:val="single" w:color="auto" w:sz="4" w:space="0"/>
              <w:right w:val="single" w:color="auto" w:sz="4" w:space="0"/>
            </w:tcBorders>
            <w:noWrap w:val="0"/>
            <w:vAlign w:val="center"/>
          </w:tcPr>
          <w:p w14:paraId="7D50CBC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被推荐者资格的证明材料</w:t>
            </w:r>
          </w:p>
        </w:tc>
        <w:tc>
          <w:tcPr>
            <w:tcW w:w="1100" w:type="dxa"/>
            <w:tcBorders>
              <w:top w:val="single" w:color="auto" w:sz="4" w:space="0"/>
              <w:left w:val="single" w:color="auto" w:sz="4" w:space="0"/>
              <w:right w:val="single" w:color="auto" w:sz="4" w:space="0"/>
            </w:tcBorders>
            <w:noWrap w:val="0"/>
            <w:vAlign w:val="center"/>
          </w:tcPr>
          <w:p w14:paraId="54255F1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14:paraId="57A15DDA">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14:paraId="48EDFD0A">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25C3A2B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14:paraId="69E2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shd w:val="clear" w:color="auto" w:fill="auto"/>
            <w:noWrap w:val="0"/>
            <w:vAlign w:val="center"/>
          </w:tcPr>
          <w:p w14:paraId="516B8EF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right w:val="single" w:color="auto" w:sz="4" w:space="0"/>
            </w:tcBorders>
            <w:noWrap w:val="0"/>
            <w:vAlign w:val="center"/>
          </w:tcPr>
          <w:p w14:paraId="036AE431">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276AB6D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14:paraId="422ACC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14:paraId="0B83CF0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14:paraId="294114D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355F647">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14:paraId="4AAE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shd w:val="clear" w:color="auto" w:fill="auto"/>
            <w:noWrap w:val="0"/>
            <w:vAlign w:val="center"/>
          </w:tcPr>
          <w:p w14:paraId="07D2FBA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continue"/>
            <w:tcBorders>
              <w:left w:val="single" w:color="auto" w:sz="4" w:space="0"/>
              <w:right w:val="single" w:color="auto" w:sz="4" w:space="0"/>
            </w:tcBorders>
            <w:noWrap w:val="0"/>
            <w:vAlign w:val="center"/>
          </w:tcPr>
          <w:p w14:paraId="4D6FEC0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76E09F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14:paraId="4EE08F8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14:paraId="65E3278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14:paraId="26FA745F">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14:paraId="76394926">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14:paraId="64038D8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通过系统上传主要知识产权活动在本省行政区域的情况说明电子版；线下提交原件</w:t>
            </w:r>
          </w:p>
        </w:tc>
      </w:tr>
      <w:tr w14:paraId="786F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0F91D8">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14:paraId="0A205FD2">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37679F6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0FD42AE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BCFF96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6AF1255">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14:paraId="3E04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A604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14:paraId="3627629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0F6A80F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3DEFB426">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05A6855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EA63360">
            <w:pPr>
              <w:keepNext w:val="0"/>
              <w:keepLines w:val="0"/>
              <w:suppressLineNumbers w:val="0"/>
              <w:shd w:val="clear"/>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2ED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25CE9DF">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bottom w:val="single" w:color="auto" w:sz="4" w:space="0"/>
              <w:right w:val="single" w:color="auto" w:sz="4" w:space="0"/>
            </w:tcBorders>
            <w:noWrap w:val="0"/>
            <w:vAlign w:val="center"/>
          </w:tcPr>
          <w:p w14:paraId="44F1049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2E2CD52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FE2477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3B4A365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14:paraId="7CD7BA7F">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br w:type="page"/>
      </w:r>
    </w:p>
    <w:p w14:paraId="1BCC0C89">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被推荐者自我评价表</w:t>
      </w:r>
    </w:p>
    <w:tbl>
      <w:tblPr>
        <w:tblStyle w:val="8"/>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183"/>
        <w:gridCol w:w="1305"/>
        <w:gridCol w:w="770"/>
        <w:gridCol w:w="6612"/>
        <w:gridCol w:w="1600"/>
        <w:gridCol w:w="1984"/>
      </w:tblGrid>
      <w:tr w14:paraId="45A24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286" w:type="dxa"/>
            <w:tcBorders>
              <w:tl2br w:val="nil"/>
              <w:tr2bl w:val="nil"/>
            </w:tcBorders>
            <w:noWrap/>
            <w:vAlign w:val="center"/>
          </w:tcPr>
          <w:p w14:paraId="22F57D3E">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b w:val="0"/>
                <w:bCs w:val="0"/>
                <w:i w:val="0"/>
                <w:iCs w:val="0"/>
                <w:color w:val="auto"/>
                <w:kern w:val="0"/>
                <w:sz w:val="24"/>
                <w:szCs w:val="24"/>
                <w:u w:val="none"/>
                <w:lang w:val="en-US" w:eastAsia="zh-CN"/>
              </w:rPr>
            </w:pPr>
            <w:r>
              <w:rPr>
                <w:rFonts w:hint="default" w:ascii="Times New Roman" w:hAnsi="Times New Roman" w:eastAsia="仿宋_GB2312" w:cs="Times New Roman"/>
                <w:color w:val="auto"/>
                <w:kern w:val="0"/>
                <w:sz w:val="24"/>
                <w:szCs w:val="24"/>
                <w:shd w:val="clear" w:color="auto" w:fill="auto"/>
              </w:rPr>
              <w:t>一级指标</w:t>
            </w:r>
          </w:p>
        </w:tc>
        <w:tc>
          <w:tcPr>
            <w:tcW w:w="1183" w:type="dxa"/>
            <w:tcBorders>
              <w:tl2br w:val="nil"/>
              <w:tr2bl w:val="nil"/>
            </w:tcBorders>
            <w:noWrap/>
            <w:vAlign w:val="center"/>
          </w:tcPr>
          <w:p w14:paraId="2B18B2FB">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b w:val="0"/>
                <w:bCs w:val="0"/>
                <w:i w:val="0"/>
                <w:iCs w:val="0"/>
                <w:color w:val="auto"/>
                <w:kern w:val="0"/>
                <w:sz w:val="24"/>
                <w:szCs w:val="24"/>
                <w:u w:val="none"/>
                <w:lang w:val="en-US" w:eastAsia="zh-CN"/>
              </w:rPr>
            </w:pPr>
            <w:r>
              <w:rPr>
                <w:rFonts w:hint="default" w:ascii="Times New Roman" w:hAnsi="Times New Roman" w:eastAsia="仿宋_GB2312" w:cs="Times New Roman"/>
                <w:color w:val="auto"/>
                <w:kern w:val="0"/>
                <w:sz w:val="24"/>
                <w:szCs w:val="24"/>
                <w:shd w:val="clear" w:color="auto" w:fill="auto"/>
              </w:rPr>
              <w:t>二级指标</w:t>
            </w:r>
          </w:p>
        </w:tc>
        <w:tc>
          <w:tcPr>
            <w:tcW w:w="1305" w:type="dxa"/>
            <w:tcBorders>
              <w:tl2br w:val="nil"/>
              <w:tr2bl w:val="nil"/>
            </w:tcBorders>
            <w:noWrap/>
            <w:vAlign w:val="center"/>
          </w:tcPr>
          <w:p w14:paraId="78D3A49A">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b w:val="0"/>
                <w:bCs w:val="0"/>
                <w:i w:val="0"/>
                <w:iCs w:val="0"/>
                <w:color w:val="auto"/>
                <w:kern w:val="0"/>
                <w:sz w:val="24"/>
                <w:szCs w:val="24"/>
                <w:u w:val="none"/>
                <w:lang w:val="en-US" w:eastAsia="zh-CN"/>
              </w:rPr>
            </w:pPr>
            <w:r>
              <w:rPr>
                <w:rFonts w:hint="default" w:ascii="Times New Roman" w:hAnsi="Times New Roman" w:eastAsia="仿宋_GB2312" w:cs="Times New Roman"/>
                <w:color w:val="auto"/>
                <w:kern w:val="0"/>
                <w:sz w:val="24"/>
                <w:szCs w:val="24"/>
                <w:shd w:val="clear" w:color="auto" w:fill="auto"/>
              </w:rPr>
              <w:t>三级指标</w:t>
            </w:r>
          </w:p>
        </w:tc>
        <w:tc>
          <w:tcPr>
            <w:tcW w:w="770" w:type="dxa"/>
            <w:tcBorders>
              <w:tl2br w:val="nil"/>
              <w:tr2bl w:val="nil"/>
            </w:tcBorders>
            <w:noWrap/>
            <w:vAlign w:val="center"/>
          </w:tcPr>
          <w:p w14:paraId="7B2E9B8D">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b w:val="0"/>
                <w:bCs w:val="0"/>
                <w:i w:val="0"/>
                <w:iCs w:val="0"/>
                <w:color w:val="auto"/>
                <w:kern w:val="0"/>
                <w:sz w:val="24"/>
                <w:szCs w:val="24"/>
                <w:u w:val="none"/>
                <w:lang w:val="en-US" w:eastAsia="zh-CN"/>
              </w:rPr>
            </w:pPr>
            <w:r>
              <w:rPr>
                <w:rFonts w:hint="default" w:ascii="Times New Roman" w:hAnsi="Times New Roman" w:eastAsia="仿宋_GB2312" w:cs="Times New Roman"/>
                <w:color w:val="auto"/>
                <w:kern w:val="0"/>
                <w:sz w:val="24"/>
                <w:szCs w:val="24"/>
                <w:shd w:val="clear" w:color="auto" w:fill="auto"/>
                <w:lang w:val="en-US" w:eastAsia="zh-CN"/>
              </w:rPr>
              <w:t>分值</w:t>
            </w:r>
          </w:p>
        </w:tc>
        <w:tc>
          <w:tcPr>
            <w:tcW w:w="6612" w:type="dxa"/>
            <w:tcBorders>
              <w:tl2br w:val="nil"/>
              <w:tr2bl w:val="nil"/>
            </w:tcBorders>
            <w:noWrap w:val="0"/>
            <w:vAlign w:val="center"/>
          </w:tcPr>
          <w:p w14:paraId="711FDBF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lang w:eastAsia="zh-CN"/>
              </w:rPr>
              <w:t>评价内容</w:t>
            </w:r>
          </w:p>
        </w:tc>
        <w:tc>
          <w:tcPr>
            <w:tcW w:w="1600" w:type="dxa"/>
            <w:tcBorders>
              <w:tl2br w:val="nil"/>
              <w:tr2bl w:val="nil"/>
            </w:tcBorders>
            <w:noWrap/>
            <w:vAlign w:val="center"/>
          </w:tcPr>
          <w:p w14:paraId="6F619A3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u w:val="none"/>
                <w:lang w:val="en-US" w:eastAsia="zh-CN"/>
              </w:rPr>
              <w:t>自我评价</w:t>
            </w:r>
          </w:p>
        </w:tc>
        <w:tc>
          <w:tcPr>
            <w:tcW w:w="1984" w:type="dxa"/>
            <w:tcBorders>
              <w:tl2br w:val="nil"/>
              <w:tr2bl w:val="nil"/>
            </w:tcBorders>
            <w:noWrap/>
            <w:vAlign w:val="center"/>
          </w:tcPr>
          <w:p w14:paraId="2E342F3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highlight w:val="yellow"/>
                <w:u w:val="none"/>
                <w:lang w:val="en-US" w:eastAsia="zh-CN" w:bidi="ar-SA"/>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单位盖章或由被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14:paraId="3170E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4" w:hRule="atLeast"/>
          <w:jc w:val="center"/>
        </w:trPr>
        <w:tc>
          <w:tcPr>
            <w:tcW w:w="1286" w:type="dxa"/>
            <w:vMerge w:val="restart"/>
            <w:tcBorders>
              <w:tl2br w:val="nil"/>
              <w:tr2bl w:val="nil"/>
            </w:tcBorders>
            <w:noWrap w:val="0"/>
            <w:vAlign w:val="center"/>
          </w:tcPr>
          <w:p w14:paraId="4BBB441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highlight w:val="none"/>
              </w:rPr>
              <w:t>布图设计</w:t>
            </w:r>
            <w:r>
              <w:rPr>
                <w:rFonts w:hint="default" w:ascii="Times New Roman" w:hAnsi="Times New Roman" w:eastAsia="仿宋_GB2312" w:cs="Times New Roman"/>
                <w:kern w:val="0"/>
                <w:sz w:val="24"/>
                <w:szCs w:val="24"/>
              </w:rPr>
              <w:t>质量</w:t>
            </w:r>
          </w:p>
          <w:p w14:paraId="5D3497E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15分</w:t>
            </w:r>
            <w:r>
              <w:rPr>
                <w:rFonts w:hint="default" w:ascii="Times New Roman" w:hAnsi="Times New Roman" w:eastAsia="仿宋_GB2312" w:cs="Times New Roman"/>
                <w:sz w:val="24"/>
                <w:szCs w:val="24"/>
              </w:rPr>
              <w:t>）</w:t>
            </w:r>
          </w:p>
        </w:tc>
        <w:tc>
          <w:tcPr>
            <w:tcW w:w="1183" w:type="dxa"/>
            <w:vMerge w:val="restart"/>
            <w:tcBorders>
              <w:tl2br w:val="nil"/>
              <w:tr2bl w:val="nil"/>
            </w:tcBorders>
            <w:noWrap w:val="0"/>
            <w:vAlign w:val="center"/>
          </w:tcPr>
          <w:p w14:paraId="44FFAE2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权利</w:t>
            </w:r>
          </w:p>
          <w:p w14:paraId="3045FAB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稳定性</w:t>
            </w:r>
          </w:p>
          <w:p w14:paraId="62077CE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10分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14:paraId="40991BC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布图设计</w:t>
            </w:r>
          </w:p>
          <w:p w14:paraId="4FA0E9D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独创性</w:t>
            </w:r>
          </w:p>
        </w:tc>
        <w:tc>
          <w:tcPr>
            <w:tcW w:w="770" w:type="dxa"/>
            <w:tcBorders>
              <w:tl2br w:val="nil"/>
              <w:tr2bl w:val="nil"/>
            </w:tcBorders>
            <w:noWrap/>
            <w:vAlign w:val="center"/>
          </w:tcPr>
          <w:p w14:paraId="6EC6358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14:paraId="5B77A3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项目有独创性，受保护部分具有某种相对独立的电子功能</w:t>
            </w: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且在复制件或图样中相对于其他部分应具有相对清晰、可以划分的边界，类似现有技术少的，得4-5分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项目有独创性，受保护部分具有某种相对独立的电子功能</w:t>
            </w: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且在复制件或图样中相对于其他部分应具有相对清晰、可以划分的边界，类似现有技术较少的，得2-3分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项目有独创性，受保护部分具有某种相对独立的电子功能</w:t>
            </w: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且在复制件或图样中相对于其他部分应具有相对清晰、可以划分的边界，类似现有技术较多的，得0-1分</w:t>
            </w:r>
          </w:p>
        </w:tc>
        <w:tc>
          <w:tcPr>
            <w:tcW w:w="1600" w:type="dxa"/>
            <w:tcBorders>
              <w:tl2br w:val="nil"/>
              <w:tr2bl w:val="nil"/>
            </w:tcBorders>
            <w:noWrap w:val="0"/>
            <w:vAlign w:val="center"/>
          </w:tcPr>
          <w:p w14:paraId="3F12027A">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1984" w:type="dxa"/>
            <w:vMerge w:val="restart"/>
            <w:tcBorders>
              <w:tl2br w:val="nil"/>
              <w:tr2bl w:val="nil"/>
            </w:tcBorders>
            <w:noWrap/>
            <w:vAlign w:val="center"/>
          </w:tcPr>
          <w:p w14:paraId="06E98092">
            <w:pPr>
              <w:keepNext w:val="0"/>
              <w:keepLines w:val="0"/>
              <w:widowControl/>
              <w:numPr>
                <w:ilvl w:val="0"/>
                <w:numId w:val="1"/>
              </w:numPr>
              <w:suppressLineNumbers w:val="0"/>
              <w:spacing w:before="0" w:beforeAutospacing="0" w:after="0" w:afterAutospacing="0"/>
              <w:ind w:left="0" w:right="0"/>
              <w:textAlignment w:val="auto"/>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布图设计质量报告（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val="0"/>
                <w:i w:val="0"/>
                <w:iCs w:val="0"/>
                <w:color w:val="C00000"/>
                <w:sz w:val="24"/>
                <w:szCs w:val="24"/>
                <w:u w:val="none"/>
              </w:rPr>
              <w:t>不超过2000字），重点围绕“权利稳定性”和“文本质量”</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rPr>
              <w:t>说明被</w:t>
            </w:r>
            <w:r>
              <w:rPr>
                <w:rFonts w:hint="eastAsia" w:eastAsia="仿宋_GB2312" w:cs="Times New Roman"/>
                <w:b w:val="0"/>
                <w:bCs w:val="0"/>
                <w:i w:val="0"/>
                <w:iCs w:val="0"/>
                <w:color w:val="C00000"/>
                <w:sz w:val="24"/>
                <w:szCs w:val="24"/>
                <w:u w:val="none"/>
                <w:lang w:eastAsia="zh-CN"/>
              </w:rPr>
              <w:t>推荐</w:t>
            </w:r>
            <w:r>
              <w:rPr>
                <w:rFonts w:hint="default" w:ascii="Times New Roman" w:hAnsi="Times New Roman" w:eastAsia="仿宋_GB2312" w:cs="Times New Roman"/>
                <w:b w:val="0"/>
                <w:bCs w:val="0"/>
                <w:i w:val="0"/>
                <w:iCs w:val="0"/>
                <w:color w:val="C00000"/>
                <w:sz w:val="24"/>
                <w:szCs w:val="24"/>
                <w:u w:val="none"/>
              </w:rPr>
              <w:t>布图设计质量的优秀程度。</w:t>
            </w:r>
          </w:p>
          <w:p w14:paraId="2CF6E940">
            <w:pPr>
              <w:keepNext w:val="0"/>
              <w:keepLines w:val="0"/>
              <w:widowControl/>
              <w:numPr>
                <w:ilvl w:val="0"/>
                <w:numId w:val="1"/>
              </w:numPr>
              <w:suppressLineNumbers w:val="0"/>
              <w:spacing w:before="0" w:beforeAutospacing="0" w:after="0" w:afterAutospacing="0"/>
              <w:ind w:left="0" w:right="0"/>
              <w:textAlignment w:val="auto"/>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布图设计登记公告文本。</w:t>
            </w:r>
          </w:p>
          <w:p w14:paraId="44E2A44B">
            <w:pPr>
              <w:pStyle w:val="2"/>
              <w:keepNext w:val="0"/>
              <w:keepLines w:val="0"/>
              <w:suppressLineNumbers w:val="0"/>
              <w:spacing w:before="0" w:beforeAutospacing="0" w:after="0" w:afterAutospacing="0"/>
              <w:ind w:left="0" w:leftChars="0" w:right="0" w:rightChars="0"/>
              <w:rPr>
                <w:rFonts w:hint="default" w:ascii="Times New Roman" w:hAnsi="Times New Roman" w:eastAsia="仿宋_GB2312" w:cs="Times New Roman"/>
                <w:b w:val="0"/>
                <w:bCs w:val="0"/>
                <w:i w:val="0"/>
                <w:iCs w:val="0"/>
                <w:color w:val="C00000"/>
                <w:sz w:val="24"/>
                <w:szCs w:val="24"/>
                <w:highlight w:val="yellow"/>
                <w:u w:val="none"/>
              </w:rPr>
            </w:pPr>
          </w:p>
        </w:tc>
      </w:tr>
      <w:tr w14:paraId="76EEC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jc w:val="center"/>
        </w:trPr>
        <w:tc>
          <w:tcPr>
            <w:tcW w:w="1286" w:type="dxa"/>
            <w:vMerge w:val="continue"/>
            <w:tcBorders>
              <w:tl2br w:val="nil"/>
              <w:tr2bl w:val="nil"/>
            </w:tcBorders>
            <w:noWrap w:val="0"/>
            <w:vAlign w:val="center"/>
          </w:tcPr>
          <w:p w14:paraId="7EF2B61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14:paraId="3B4498D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0"/>
            <w:vAlign w:val="center"/>
          </w:tcPr>
          <w:p w14:paraId="1512753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布图设计</w:t>
            </w:r>
          </w:p>
          <w:p w14:paraId="6540BD4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实现性</w:t>
            </w:r>
          </w:p>
        </w:tc>
        <w:tc>
          <w:tcPr>
            <w:tcW w:w="770" w:type="dxa"/>
            <w:tcBorders>
              <w:tl2br w:val="nil"/>
              <w:tr2bl w:val="nil"/>
            </w:tcBorders>
            <w:noWrap/>
            <w:vAlign w:val="center"/>
          </w:tcPr>
          <w:p w14:paraId="68C9406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14:paraId="623651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项目工艺可实现性强，已投入产业应用，产生显著效果的，得4-5分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项目工艺可实现性较强，已投入产业应用，产生明显效果的，得2-3分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项目具备工艺可实现性，已投入产业应用的，得0-1分</w:t>
            </w:r>
          </w:p>
        </w:tc>
        <w:tc>
          <w:tcPr>
            <w:tcW w:w="1600" w:type="dxa"/>
            <w:tcBorders>
              <w:tl2br w:val="nil"/>
              <w:tr2bl w:val="nil"/>
            </w:tcBorders>
            <w:noWrap w:val="0"/>
            <w:vAlign w:val="center"/>
          </w:tcPr>
          <w:p w14:paraId="1669DFC5">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14:paraId="125D827E">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4EB28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286" w:type="dxa"/>
            <w:vMerge w:val="continue"/>
            <w:tcBorders>
              <w:tl2br w:val="nil"/>
              <w:tr2bl w:val="nil"/>
            </w:tcBorders>
            <w:noWrap w:val="0"/>
            <w:vAlign w:val="center"/>
          </w:tcPr>
          <w:p w14:paraId="1C04A44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tcBorders>
              <w:tl2br w:val="nil"/>
              <w:tr2bl w:val="nil"/>
            </w:tcBorders>
            <w:noWrap w:val="0"/>
            <w:vAlign w:val="center"/>
          </w:tcPr>
          <w:p w14:paraId="0D8152E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文本质量</w:t>
            </w:r>
          </w:p>
          <w:p w14:paraId="31C45CC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5分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14:paraId="08FA719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布图设计内容和简要说明</w:t>
            </w:r>
          </w:p>
        </w:tc>
        <w:tc>
          <w:tcPr>
            <w:tcW w:w="770" w:type="dxa"/>
            <w:tcBorders>
              <w:tl2br w:val="nil"/>
              <w:tr2bl w:val="nil"/>
            </w:tcBorders>
            <w:noWrap/>
            <w:vAlign w:val="center"/>
          </w:tcPr>
          <w:p w14:paraId="26109BA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14:paraId="7B616F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项目设计内容清晰，与产品一致性高，简要说明高度表达设计的结构、技术、功能等内容的，得4-5分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项目设计内容清晰，与产品一致性高，简要说明精确表达设计的结构、技术、功能等内容的，得2-3分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项目设计内容清晰，与产品一致性高，简要说明有效展示设计的结构、技术、功能等内容的，得0-1分</w:t>
            </w:r>
          </w:p>
        </w:tc>
        <w:tc>
          <w:tcPr>
            <w:tcW w:w="1600" w:type="dxa"/>
            <w:tcBorders>
              <w:tl2br w:val="nil"/>
              <w:tr2bl w:val="nil"/>
            </w:tcBorders>
            <w:noWrap w:val="0"/>
            <w:vAlign w:val="center"/>
          </w:tcPr>
          <w:p w14:paraId="6F0A09CE">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14:paraId="1A636D53">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46B3F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286" w:type="dxa"/>
            <w:vMerge w:val="restart"/>
            <w:tcBorders>
              <w:tl2br w:val="nil"/>
              <w:tr2bl w:val="nil"/>
            </w:tcBorders>
            <w:noWrap w:val="0"/>
            <w:vAlign w:val="center"/>
          </w:tcPr>
          <w:p w14:paraId="73E7CCE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highlight w:val="none"/>
              </w:rPr>
              <w:t>布图设计</w:t>
            </w:r>
            <w:r>
              <w:rPr>
                <w:rFonts w:hint="default" w:ascii="Times New Roman" w:hAnsi="Times New Roman" w:eastAsia="仿宋_GB2312" w:cs="Times New Roman"/>
                <w:kern w:val="0"/>
                <w:sz w:val="24"/>
                <w:szCs w:val="24"/>
              </w:rPr>
              <w:t>创新性</w:t>
            </w:r>
          </w:p>
          <w:p w14:paraId="5E58618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30分</w:t>
            </w:r>
            <w:r>
              <w:rPr>
                <w:rFonts w:hint="default" w:ascii="Times New Roman" w:hAnsi="Times New Roman" w:eastAsia="仿宋_GB2312" w:cs="Times New Roman"/>
                <w:sz w:val="24"/>
                <w:szCs w:val="24"/>
              </w:rPr>
              <w:t>）</w:t>
            </w:r>
          </w:p>
        </w:tc>
        <w:tc>
          <w:tcPr>
            <w:tcW w:w="1183" w:type="dxa"/>
            <w:vMerge w:val="restart"/>
            <w:tcBorders>
              <w:tl2br w:val="nil"/>
              <w:tr2bl w:val="nil"/>
            </w:tcBorders>
            <w:noWrap w:val="0"/>
            <w:vAlign w:val="center"/>
          </w:tcPr>
          <w:p w14:paraId="5D4741C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p w14:paraId="0F8B9DA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先进性</w:t>
            </w:r>
          </w:p>
          <w:p w14:paraId="3DCC57D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15分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14:paraId="7E7763E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重要性</w:t>
            </w:r>
          </w:p>
        </w:tc>
        <w:tc>
          <w:tcPr>
            <w:tcW w:w="770" w:type="dxa"/>
            <w:tcBorders>
              <w:tl2br w:val="nil"/>
              <w:tr2bl w:val="nil"/>
            </w:tcBorders>
            <w:noWrap/>
            <w:vAlign w:val="center"/>
          </w:tcPr>
          <w:p w14:paraId="21FB3F5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10分</w:t>
            </w:r>
          </w:p>
        </w:tc>
        <w:tc>
          <w:tcPr>
            <w:tcW w:w="6612" w:type="dxa"/>
            <w:tcBorders>
              <w:tl2br w:val="nil"/>
              <w:tr2bl w:val="nil"/>
            </w:tcBorders>
            <w:noWrap w:val="0"/>
            <w:vAlign w:val="center"/>
          </w:tcPr>
          <w:p w14:paraId="604A56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项目设计思路、结构机制与制造工艺领先，对解决集成电路产业关键核心技术问题等起到重要促进作用，为本领域技术进步和产业结构优化升级作出重大贡献的，得8-10分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项目设计思路、结构机制与制造工艺先进，对解决集成电路产业关键核心技术问题等促进明显，为本领域技术进步和产业结构优化升级作出较大贡献的，得4-7分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项目设计思路、结构机制与制造工艺有特色，对解决集成电路产业关键核心技术问题等有促进作用，为本领域技术进步和产业结构优化升级作出贡献的，得0-3分</w:t>
            </w:r>
          </w:p>
        </w:tc>
        <w:tc>
          <w:tcPr>
            <w:tcW w:w="1600" w:type="dxa"/>
            <w:tcBorders>
              <w:tl2br w:val="nil"/>
              <w:tr2bl w:val="nil"/>
            </w:tcBorders>
            <w:noWrap w:val="0"/>
            <w:vAlign w:val="center"/>
          </w:tcPr>
          <w:p w14:paraId="136546EE">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restart"/>
            <w:tcBorders>
              <w:tl2br w:val="nil"/>
              <w:tr2bl w:val="nil"/>
            </w:tcBorders>
            <w:noWrap/>
            <w:vAlign w:val="center"/>
          </w:tcPr>
          <w:p w14:paraId="230B0F22">
            <w:pPr>
              <w:keepNext w:val="0"/>
              <w:keepLines w:val="0"/>
              <w:widowControl w:val="0"/>
              <w:numPr>
                <w:ilvl w:val="0"/>
                <w:numId w:val="2"/>
              </w:numPr>
              <w:suppressLineNumbers w:val="0"/>
              <w:spacing w:before="0" w:beforeAutospacing="0" w:after="0" w:afterAutospacing="0"/>
              <w:ind w:left="0" w:right="0"/>
              <w:jc w:val="both"/>
              <w:rPr>
                <w:rFonts w:hint="default" w:ascii="Times New Roman" w:hAnsi="Times New Roman" w:eastAsia="仿宋_GB2312" w:cs="Times New Roman"/>
                <w:b w:val="0"/>
                <w:bCs w:val="0"/>
                <w:color w:val="C00000"/>
                <w:kern w:val="2"/>
                <w:sz w:val="24"/>
                <w:szCs w:val="24"/>
                <w:lang w:val="en-US" w:eastAsia="zh-CN" w:bidi="ar"/>
              </w:rPr>
            </w:pP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color w:val="C00000"/>
                <w:kern w:val="2"/>
                <w:sz w:val="24"/>
                <w:szCs w:val="24"/>
                <w:lang w:eastAsia="zh-CN" w:bidi="ar"/>
              </w:rPr>
              <w:t>布图设计</w:t>
            </w:r>
            <w:r>
              <w:rPr>
                <w:rFonts w:hint="default" w:ascii="Times New Roman" w:hAnsi="Times New Roman" w:eastAsia="仿宋_GB2312" w:cs="Times New Roman"/>
                <w:b w:val="0"/>
                <w:bCs w:val="0"/>
                <w:i w:val="0"/>
                <w:color w:val="C00000"/>
                <w:kern w:val="2"/>
                <w:sz w:val="24"/>
                <w:szCs w:val="24"/>
                <w:lang w:val="en-US" w:eastAsia="zh-CN" w:bidi="ar"/>
              </w:rPr>
              <w:t>创新性报告（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val="0"/>
                <w:i w:val="0"/>
                <w:color w:val="C00000"/>
                <w:kern w:val="2"/>
                <w:sz w:val="24"/>
                <w:szCs w:val="24"/>
                <w:lang w:val="en-US" w:eastAsia="zh-CN" w:bidi="ar"/>
              </w:rPr>
              <w:t>不超过2000字），围绕</w:t>
            </w:r>
            <w:r>
              <w:rPr>
                <w:rFonts w:hint="default" w:ascii="Times New Roman" w:hAnsi="Times New Roman" w:eastAsia="仿宋_GB2312" w:cs="Times New Roman"/>
                <w:b w:val="0"/>
                <w:bCs w:val="0"/>
                <w:color w:val="C00000"/>
                <w:kern w:val="2"/>
                <w:sz w:val="24"/>
                <w:szCs w:val="24"/>
                <w:lang w:val="en-US" w:eastAsia="zh-CN" w:bidi="ar"/>
              </w:rPr>
              <w:t>技术先进性和</w:t>
            </w:r>
            <w:r>
              <w:rPr>
                <w:rFonts w:hint="default" w:ascii="Times New Roman" w:hAnsi="Times New Roman" w:eastAsia="仿宋_GB2312" w:cs="Times New Roman"/>
                <w:b w:val="0"/>
                <w:bCs w:val="0"/>
                <w:color w:val="C00000"/>
                <w:kern w:val="2"/>
                <w:sz w:val="24"/>
                <w:szCs w:val="24"/>
                <w:lang w:eastAsia="zh-CN" w:bidi="ar"/>
              </w:rPr>
              <w:t>产品性能</w:t>
            </w:r>
            <w:r>
              <w:rPr>
                <w:rFonts w:hint="default" w:ascii="Times New Roman" w:hAnsi="Times New Roman" w:eastAsia="仿宋_GB2312" w:cs="Times New Roman"/>
                <w:b w:val="0"/>
                <w:bCs w:val="0"/>
                <w:color w:val="C00000"/>
                <w:kern w:val="2"/>
                <w:sz w:val="24"/>
                <w:szCs w:val="24"/>
                <w:lang w:val="en-US" w:eastAsia="zh-CN" w:bidi="ar"/>
              </w:rPr>
              <w:t>，重点说明被</w:t>
            </w:r>
            <w:r>
              <w:rPr>
                <w:rFonts w:hint="eastAsia" w:eastAsia="仿宋_GB2312" w:cs="Times New Roman"/>
                <w:b w:val="0"/>
                <w:bCs w:val="0"/>
                <w:color w:val="C00000"/>
                <w:kern w:val="2"/>
                <w:sz w:val="24"/>
                <w:szCs w:val="24"/>
                <w:lang w:val="en-US" w:eastAsia="zh-CN" w:bidi="ar"/>
              </w:rPr>
              <w:t>推荐</w:t>
            </w:r>
            <w:r>
              <w:rPr>
                <w:rFonts w:hint="default" w:ascii="Times New Roman" w:hAnsi="Times New Roman" w:eastAsia="仿宋_GB2312" w:cs="Times New Roman"/>
                <w:b w:val="0"/>
                <w:bCs w:val="0"/>
                <w:color w:val="C00000"/>
                <w:kern w:val="2"/>
                <w:sz w:val="24"/>
                <w:szCs w:val="24"/>
                <w:lang w:eastAsia="zh-CN" w:bidi="ar"/>
              </w:rPr>
              <w:t>布图设计</w:t>
            </w:r>
            <w:r>
              <w:rPr>
                <w:rFonts w:hint="default" w:ascii="Times New Roman" w:hAnsi="Times New Roman" w:eastAsia="仿宋_GB2312" w:cs="Times New Roman"/>
                <w:b w:val="0"/>
                <w:bCs w:val="0"/>
                <w:color w:val="C00000"/>
                <w:kern w:val="2"/>
                <w:sz w:val="24"/>
                <w:szCs w:val="24"/>
                <w:lang w:val="en-US" w:eastAsia="zh-CN" w:bidi="ar"/>
              </w:rPr>
              <w:t>的重要性、技术优势、</w:t>
            </w:r>
            <w:r>
              <w:rPr>
                <w:rFonts w:hint="default" w:ascii="Times New Roman" w:hAnsi="Times New Roman" w:eastAsia="仿宋_GB2312" w:cs="Times New Roman"/>
                <w:b w:val="0"/>
                <w:bCs w:val="0"/>
                <w:color w:val="C00000"/>
                <w:kern w:val="2"/>
                <w:sz w:val="24"/>
                <w:szCs w:val="24"/>
                <w:lang w:eastAsia="zh-CN" w:bidi="ar"/>
              </w:rPr>
              <w:t>产品可靠性和通用性</w:t>
            </w:r>
            <w:r>
              <w:rPr>
                <w:rFonts w:hint="default" w:ascii="Times New Roman" w:hAnsi="Times New Roman" w:eastAsia="仿宋_GB2312" w:cs="Times New Roman"/>
                <w:b w:val="0"/>
                <w:bCs w:val="0"/>
                <w:color w:val="C00000"/>
                <w:kern w:val="2"/>
                <w:sz w:val="24"/>
                <w:szCs w:val="24"/>
                <w:lang w:val="en-US" w:eastAsia="zh-CN" w:bidi="ar"/>
              </w:rPr>
              <w:t>。</w:t>
            </w:r>
          </w:p>
          <w:p w14:paraId="05695521">
            <w:pPr>
              <w:keepNext w:val="0"/>
              <w:keepLines w:val="0"/>
              <w:widowControl w:val="0"/>
              <w:numPr>
                <w:ilvl w:val="0"/>
                <w:numId w:val="0"/>
              </w:numPr>
              <w:suppressLineNumbers w:val="0"/>
              <w:spacing w:before="0" w:beforeAutospacing="0" w:after="0" w:afterAutospacing="0"/>
              <w:ind w:left="0" w:leftChars="0" w:right="0" w:rightChars="0" w:firstLine="0" w:firstLineChars="0"/>
              <w:jc w:val="both"/>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color w:val="C00000"/>
                <w:kern w:val="2"/>
                <w:sz w:val="24"/>
                <w:szCs w:val="24"/>
                <w:lang w:eastAsia="zh-CN" w:bidi="ar"/>
              </w:rPr>
              <w:t>2.若有必要，可提交集成电路布图设计产品实物或应用视频。</w:t>
            </w:r>
          </w:p>
        </w:tc>
      </w:tr>
      <w:tr w14:paraId="54D6B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286" w:type="dxa"/>
            <w:vMerge w:val="continue"/>
            <w:tcBorders>
              <w:tl2br w:val="nil"/>
              <w:tr2bl w:val="nil"/>
            </w:tcBorders>
            <w:noWrap w:val="0"/>
            <w:vAlign w:val="center"/>
          </w:tcPr>
          <w:p w14:paraId="62D8E62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14:paraId="1808BBD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0"/>
            <w:vAlign w:val="center"/>
          </w:tcPr>
          <w:p w14:paraId="4EE4565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技术优势</w:t>
            </w:r>
          </w:p>
        </w:tc>
        <w:tc>
          <w:tcPr>
            <w:tcW w:w="770" w:type="dxa"/>
            <w:tcBorders>
              <w:tl2br w:val="nil"/>
              <w:tr2bl w:val="nil"/>
            </w:tcBorders>
            <w:noWrap/>
            <w:vAlign w:val="center"/>
          </w:tcPr>
          <w:p w14:paraId="4B6E3A1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14:paraId="5FC6B1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项目不存在解决相同或类似问题的替代技术方案，技术效果强的，得4-5分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项目存在解决相同或类似问题的替代技术方案，技术效果较优的，得2-3分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项目存在解决相同或类似问题的替代技术方案，技术效果差异不大的，得0-1分</w:t>
            </w:r>
          </w:p>
        </w:tc>
        <w:tc>
          <w:tcPr>
            <w:tcW w:w="1600" w:type="dxa"/>
            <w:tcBorders>
              <w:tl2br w:val="nil"/>
              <w:tr2bl w:val="nil"/>
            </w:tcBorders>
            <w:noWrap w:val="0"/>
            <w:vAlign w:val="center"/>
          </w:tcPr>
          <w:p w14:paraId="61961726">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14:paraId="463A96E7">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2C0ED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286" w:type="dxa"/>
            <w:vMerge w:val="continue"/>
            <w:tcBorders>
              <w:tl2br w:val="nil"/>
              <w:tr2bl w:val="nil"/>
            </w:tcBorders>
            <w:noWrap w:val="0"/>
            <w:vAlign w:val="center"/>
          </w:tcPr>
          <w:p w14:paraId="0839056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restart"/>
            <w:tcBorders>
              <w:tl2br w:val="nil"/>
              <w:tr2bl w:val="nil"/>
            </w:tcBorders>
            <w:noWrap w:val="0"/>
            <w:vAlign w:val="center"/>
          </w:tcPr>
          <w:p w14:paraId="120555F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产品性能</w:t>
            </w:r>
          </w:p>
          <w:p w14:paraId="7E4ED5A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15分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14:paraId="414493C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产品</w:t>
            </w:r>
          </w:p>
          <w:p w14:paraId="53B3C3E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kern w:val="0"/>
                <w:sz w:val="24"/>
                <w:szCs w:val="24"/>
              </w:rPr>
              <w:t>可靠性</w:t>
            </w:r>
          </w:p>
        </w:tc>
        <w:tc>
          <w:tcPr>
            <w:tcW w:w="770" w:type="dxa"/>
            <w:tcBorders>
              <w:tl2br w:val="nil"/>
              <w:tr2bl w:val="nil"/>
            </w:tcBorders>
            <w:noWrap/>
            <w:vAlign w:val="center"/>
          </w:tcPr>
          <w:p w14:paraId="7F6F9A6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kern w:val="0"/>
                <w:sz w:val="24"/>
                <w:szCs w:val="24"/>
              </w:rPr>
              <w:t>10分</w:t>
            </w:r>
          </w:p>
        </w:tc>
        <w:tc>
          <w:tcPr>
            <w:tcW w:w="6612" w:type="dxa"/>
            <w:tcBorders>
              <w:tl2br w:val="nil"/>
              <w:tr2bl w:val="nil"/>
            </w:tcBorders>
            <w:noWrap w:val="0"/>
            <w:vAlign w:val="center"/>
          </w:tcPr>
          <w:p w14:paraId="152AD127">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项目产品寿命长、集成度高、可靠性高、性能好、成本低且便于大规模生产，市场竞争优势高的，得8-10分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项目产品集成度及可靠性较高、性能较好、成本较低且便于大规模生产，产品竞争优势较高的，得4-7分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项目产品可靠、性能良好，有竞争优势的，得0-3分</w:t>
            </w:r>
          </w:p>
        </w:tc>
        <w:tc>
          <w:tcPr>
            <w:tcW w:w="1600" w:type="dxa"/>
            <w:tcBorders>
              <w:tl2br w:val="nil"/>
              <w:tr2bl w:val="nil"/>
            </w:tcBorders>
            <w:noWrap w:val="0"/>
            <w:vAlign w:val="center"/>
          </w:tcPr>
          <w:p w14:paraId="05F67313">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14:paraId="71DF5A48">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10776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1286" w:type="dxa"/>
            <w:vMerge w:val="continue"/>
            <w:tcBorders>
              <w:tl2br w:val="nil"/>
              <w:tr2bl w:val="nil"/>
            </w:tcBorders>
            <w:noWrap w:val="0"/>
            <w:vAlign w:val="center"/>
          </w:tcPr>
          <w:p w14:paraId="17E9ADE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14:paraId="6F53251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p>
        </w:tc>
        <w:tc>
          <w:tcPr>
            <w:tcW w:w="1305" w:type="dxa"/>
            <w:tcBorders>
              <w:tl2br w:val="nil"/>
              <w:tr2bl w:val="nil"/>
            </w:tcBorders>
            <w:noWrap w:val="0"/>
            <w:vAlign w:val="center"/>
          </w:tcPr>
          <w:p w14:paraId="61AF87A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kern w:val="0"/>
                <w:sz w:val="24"/>
                <w:szCs w:val="24"/>
              </w:rPr>
              <w:t>通用性</w:t>
            </w:r>
          </w:p>
        </w:tc>
        <w:tc>
          <w:tcPr>
            <w:tcW w:w="770" w:type="dxa"/>
            <w:tcBorders>
              <w:tl2br w:val="nil"/>
              <w:tr2bl w:val="nil"/>
            </w:tcBorders>
            <w:noWrap/>
            <w:vAlign w:val="center"/>
          </w:tcPr>
          <w:p w14:paraId="25283C0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14:paraId="3EBEDB98">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项目应用于多个领域的多个产品的，得4-5分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项目应用于同一领域的多个产品的，得2-3分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项目应用于单一产品的，得0-1分</w:t>
            </w:r>
          </w:p>
        </w:tc>
        <w:tc>
          <w:tcPr>
            <w:tcW w:w="1600" w:type="dxa"/>
            <w:tcBorders>
              <w:tl2br w:val="nil"/>
              <w:tr2bl w:val="nil"/>
            </w:tcBorders>
            <w:noWrap w:val="0"/>
            <w:vAlign w:val="center"/>
          </w:tcPr>
          <w:p w14:paraId="6A1C1C99">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14:paraId="1C6A5A3F">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02445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286" w:type="dxa"/>
            <w:vMerge w:val="restart"/>
            <w:tcBorders>
              <w:tl2br w:val="nil"/>
              <w:tr2bl w:val="nil"/>
            </w:tcBorders>
            <w:noWrap w:val="0"/>
            <w:vAlign w:val="center"/>
          </w:tcPr>
          <w:p w14:paraId="7FCAEA5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highlight w:val="none"/>
              </w:rPr>
              <w:t>布图设计</w:t>
            </w:r>
            <w:r>
              <w:rPr>
                <w:rFonts w:hint="default" w:ascii="Times New Roman" w:hAnsi="Times New Roman" w:eastAsia="仿宋_GB2312" w:cs="Times New Roman"/>
                <w:kern w:val="0"/>
                <w:sz w:val="24"/>
                <w:szCs w:val="24"/>
              </w:rPr>
              <w:t>实施效益及发展</w:t>
            </w:r>
          </w:p>
          <w:p w14:paraId="6E10001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前景</w:t>
            </w:r>
          </w:p>
          <w:p w14:paraId="0CC5F23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30分</w:t>
            </w:r>
            <w:r>
              <w:rPr>
                <w:rFonts w:hint="default" w:ascii="Times New Roman" w:hAnsi="Times New Roman" w:eastAsia="仿宋_GB2312" w:cs="Times New Roman"/>
                <w:sz w:val="24"/>
                <w:szCs w:val="24"/>
              </w:rPr>
              <w:t>）</w:t>
            </w:r>
          </w:p>
        </w:tc>
        <w:tc>
          <w:tcPr>
            <w:tcW w:w="1183" w:type="dxa"/>
            <w:vMerge w:val="restart"/>
            <w:tcBorders>
              <w:tl2br w:val="nil"/>
              <w:tr2bl w:val="nil"/>
            </w:tcBorders>
            <w:noWrap w:val="0"/>
            <w:vAlign w:val="center"/>
          </w:tcPr>
          <w:p w14:paraId="5B301E6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实施效益</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18分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14:paraId="1721A8D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产品经济效益</w:t>
            </w:r>
          </w:p>
        </w:tc>
        <w:tc>
          <w:tcPr>
            <w:tcW w:w="770" w:type="dxa"/>
            <w:tcBorders>
              <w:tl2br w:val="nil"/>
              <w:tr2bl w:val="nil"/>
            </w:tcBorders>
            <w:noWrap/>
            <w:vAlign w:val="center"/>
          </w:tcPr>
          <w:p w14:paraId="5CF7EAD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10分</w:t>
            </w:r>
          </w:p>
        </w:tc>
        <w:tc>
          <w:tcPr>
            <w:tcW w:w="6612" w:type="dxa"/>
            <w:tcBorders>
              <w:tl2br w:val="nil"/>
              <w:tr2bl w:val="nil"/>
            </w:tcBorders>
            <w:noWrap w:val="0"/>
            <w:vAlign w:val="center"/>
          </w:tcPr>
          <w:p w14:paraId="11D79F67">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主要为头部企业提供配套，项目实施以来新增销售额、利润、出口额等方面经济效益显著，产品在同类产品/服务的市场份额占比高的，得8-10分</w:t>
            </w:r>
          </w:p>
          <w:p w14:paraId="7081E0F4">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为头部企业提供配套，项目实施以来新增销售额、利润、出口额等方面经济效益明显，产品在同类产品/服务的市场份额占比较高的，得4-7分</w:t>
            </w:r>
          </w:p>
          <w:p w14:paraId="60A1A32A">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能为头部企业提供配套，项目实施以来新增销售额、利润、出口额等方面</w:t>
            </w:r>
            <w:r>
              <w:rPr>
                <w:rFonts w:hint="default" w:ascii="Times New Roman" w:hAnsi="Times New Roman" w:eastAsia="仿宋_GB2312" w:cs="Times New Roman"/>
                <w:color w:val="auto"/>
                <w:kern w:val="0"/>
                <w:sz w:val="24"/>
                <w:szCs w:val="24"/>
                <w:lang w:val="en-US" w:eastAsia="zh-CN"/>
              </w:rPr>
              <w:t>具有</w:t>
            </w:r>
            <w:r>
              <w:rPr>
                <w:rFonts w:hint="default" w:ascii="Times New Roman" w:hAnsi="Times New Roman" w:eastAsia="仿宋_GB2312" w:cs="Times New Roman"/>
                <w:color w:val="auto"/>
                <w:kern w:val="0"/>
                <w:sz w:val="24"/>
                <w:szCs w:val="24"/>
              </w:rPr>
              <w:t>经济效益，产品在同类产品/服务有一定市场份额的，得0-3分</w:t>
            </w:r>
          </w:p>
        </w:tc>
        <w:tc>
          <w:tcPr>
            <w:tcW w:w="1600" w:type="dxa"/>
            <w:tcBorders>
              <w:tl2br w:val="nil"/>
              <w:tr2bl w:val="nil"/>
            </w:tcBorders>
            <w:noWrap w:val="0"/>
            <w:vAlign w:val="center"/>
          </w:tcPr>
          <w:p w14:paraId="1AF33EB8">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restart"/>
            <w:tcBorders>
              <w:tl2br w:val="nil"/>
              <w:tr2bl w:val="nil"/>
            </w:tcBorders>
            <w:noWrap/>
            <w:vAlign w:val="center"/>
          </w:tcPr>
          <w:p w14:paraId="206E7516">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w:t>
            </w: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表《被</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项目经济效益说明表》</w:t>
            </w:r>
            <w:r>
              <w:rPr>
                <w:rFonts w:hint="default" w:ascii="Times New Roman" w:hAnsi="Times New Roman" w:eastAsia="仿宋_GB2312" w:cs="Times New Roman"/>
                <w:b w:val="0"/>
                <w:bCs w:val="0"/>
                <w:i w:val="0"/>
                <w:iCs w:val="0"/>
                <w:color w:val="C00000"/>
                <w:sz w:val="24"/>
                <w:szCs w:val="24"/>
                <w:u w:val="none"/>
                <w:lang w:eastAsia="zh-CN"/>
              </w:rPr>
              <w:t>）；可</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i w:val="0"/>
                <w:color w:val="C00000"/>
                <w:kern w:val="2"/>
                <w:sz w:val="24"/>
                <w:szCs w:val="24"/>
                <w:lang w:val="en-US" w:eastAsia="zh-CN" w:bidi="ar"/>
              </w:rPr>
              <w:t>有资质的会计师事务所出具的被</w:t>
            </w:r>
            <w:r>
              <w:rPr>
                <w:rFonts w:hint="eastAsia" w:eastAsia="仿宋_GB2312" w:cs="Times New Roman"/>
                <w:b w:val="0"/>
                <w:bCs/>
                <w:i w:val="0"/>
                <w:color w:val="C00000"/>
                <w:kern w:val="2"/>
                <w:sz w:val="24"/>
                <w:szCs w:val="24"/>
                <w:lang w:val="en-US" w:eastAsia="zh-CN" w:bidi="ar"/>
              </w:rPr>
              <w:t>推荐</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经济效益专项审计报告</w:t>
            </w:r>
            <w:r>
              <w:rPr>
                <w:rFonts w:hint="default" w:ascii="Times New Roman" w:hAnsi="Times New Roman" w:eastAsia="仿宋_GB2312" w:cs="Times New Roman"/>
                <w:b w:val="0"/>
                <w:bCs/>
                <w:i w:val="0"/>
                <w:color w:val="C00000"/>
                <w:kern w:val="2"/>
                <w:sz w:val="24"/>
                <w:szCs w:val="24"/>
                <w:lang w:eastAsia="zh-CN" w:bidi="ar"/>
              </w:rPr>
              <w:t>、直接相关专利产品在</w:t>
            </w:r>
            <w:r>
              <w:rPr>
                <w:rFonts w:hint="default" w:ascii="Times New Roman" w:hAnsi="Times New Roman" w:eastAsia="仿宋_GB2312" w:cs="Times New Roman"/>
                <w:b w:val="0"/>
                <w:bCs/>
                <w:i w:val="0"/>
                <w:color w:val="C00000"/>
                <w:kern w:val="2"/>
                <w:sz w:val="24"/>
                <w:szCs w:val="24"/>
                <w:lang w:val="en-US" w:eastAsia="zh-CN" w:bidi="ar"/>
              </w:rPr>
              <w:t>国家专利密集型产品备案认定试点平台备案等证明</w:t>
            </w:r>
            <w:r>
              <w:rPr>
                <w:rFonts w:hint="default" w:ascii="Times New Roman" w:hAnsi="Times New Roman" w:eastAsia="仿宋_GB2312" w:cs="Times New Roman"/>
                <w:b w:val="0"/>
                <w:bCs/>
                <w:i w:val="0"/>
                <w:iCs w:val="0"/>
                <w:color w:val="C00000"/>
                <w:sz w:val="24"/>
                <w:szCs w:val="24"/>
                <w:u w:val="none"/>
                <w:lang w:eastAsia="zh-CN"/>
              </w:rPr>
              <w:t>，特殊产品应提供相应的市场准入证明</w:t>
            </w:r>
            <w:r>
              <w:rPr>
                <w:rFonts w:hint="default" w:ascii="Times New Roman" w:hAnsi="Times New Roman" w:eastAsia="仿宋_GB2312" w:cs="Times New Roman"/>
                <w:b w:val="0"/>
                <w:bCs/>
                <w:i w:val="0"/>
                <w:color w:val="C00000"/>
                <w:kern w:val="2"/>
                <w:sz w:val="24"/>
                <w:szCs w:val="24"/>
                <w:lang w:val="en-US" w:eastAsia="zh-CN" w:bidi="ar"/>
              </w:rPr>
              <w:t>。</w:t>
            </w:r>
          </w:p>
          <w:p w14:paraId="09E6CA4F">
            <w:pPr>
              <w:keepNext w:val="0"/>
              <w:keepLines w:val="0"/>
              <w:widowControl/>
              <w:suppressLineNumbers w:val="0"/>
              <w:spacing w:before="0" w:beforeAutospacing="0" w:after="0" w:afterAutospacing="0"/>
              <w:ind w:left="0" w:leftChars="0" w:right="0" w:rightChars="0"/>
              <w:textAlignment w:val="auto"/>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i w:val="0"/>
                <w:color w:val="C00000"/>
                <w:kern w:val="2"/>
                <w:sz w:val="24"/>
                <w:szCs w:val="24"/>
                <w:lang w:val="en-US" w:eastAsia="zh-CN" w:bidi="ar"/>
              </w:rPr>
              <w:t>2.提供</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社会效益及发展前景报告（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i w:val="0"/>
                <w:color w:val="C00000"/>
                <w:kern w:val="2"/>
                <w:sz w:val="24"/>
                <w:szCs w:val="24"/>
                <w:lang w:val="en-US" w:eastAsia="zh-CN" w:bidi="ar"/>
              </w:rPr>
              <w:t>不超过2000字），围绕被</w:t>
            </w:r>
            <w:r>
              <w:rPr>
                <w:rFonts w:hint="eastAsia" w:eastAsia="仿宋_GB2312" w:cs="Times New Roman"/>
                <w:b w:val="0"/>
                <w:bCs/>
                <w:i w:val="0"/>
                <w:color w:val="C00000"/>
                <w:kern w:val="2"/>
                <w:sz w:val="24"/>
                <w:szCs w:val="24"/>
                <w:lang w:val="en-US" w:eastAsia="zh-CN" w:bidi="ar"/>
              </w:rPr>
              <w:t>推荐</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的社会效益、持续投入、行业影响力状况、政策适应性等方面进行说明</w:t>
            </w:r>
            <w:r>
              <w:rPr>
                <w:rFonts w:hint="default" w:ascii="Times New Roman" w:hAnsi="Times New Roman" w:eastAsia="仿宋_GB2312" w:cs="Times New Roman"/>
                <w:b w:val="0"/>
                <w:bCs/>
                <w:i w:val="0"/>
                <w:iCs w:val="0"/>
                <w:color w:val="C00000"/>
                <w:sz w:val="24"/>
                <w:szCs w:val="24"/>
                <w:u w:val="none"/>
                <w:lang w:eastAsia="zh-CN"/>
              </w:rPr>
              <w:t>，可提供相应获奖、社会效益等证明。</w:t>
            </w:r>
          </w:p>
        </w:tc>
      </w:tr>
      <w:tr w14:paraId="1ECB8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8" w:hRule="atLeast"/>
          <w:jc w:val="center"/>
        </w:trPr>
        <w:tc>
          <w:tcPr>
            <w:tcW w:w="1286" w:type="dxa"/>
            <w:vMerge w:val="continue"/>
            <w:tcBorders>
              <w:tl2br w:val="nil"/>
              <w:tr2bl w:val="nil"/>
            </w:tcBorders>
            <w:noWrap w:val="0"/>
            <w:vAlign w:val="center"/>
          </w:tcPr>
          <w:p w14:paraId="35651AF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14:paraId="211A43A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0"/>
            <w:vAlign w:val="center"/>
          </w:tcPr>
          <w:p w14:paraId="156B3B6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产品社会效益</w:t>
            </w:r>
          </w:p>
        </w:tc>
        <w:tc>
          <w:tcPr>
            <w:tcW w:w="770" w:type="dxa"/>
            <w:tcBorders>
              <w:tl2br w:val="nil"/>
              <w:tr2bl w:val="nil"/>
            </w:tcBorders>
            <w:noWrap/>
            <w:vAlign w:val="center"/>
          </w:tcPr>
          <w:p w14:paraId="740F256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8分</w:t>
            </w:r>
          </w:p>
        </w:tc>
        <w:tc>
          <w:tcPr>
            <w:tcW w:w="6612" w:type="dxa"/>
            <w:tcBorders>
              <w:tl2br w:val="nil"/>
              <w:tr2bl w:val="nil"/>
            </w:tcBorders>
            <w:noWrap w:val="0"/>
            <w:vAlign w:val="center"/>
          </w:tcPr>
          <w:p w14:paraId="214F045D">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项目引领地方特色经济、带动相关产业发展、服务社会就业、保障国家和公共安全、</w:t>
            </w:r>
            <w:r>
              <w:rPr>
                <w:rFonts w:hint="default" w:ascii="Times New Roman" w:hAnsi="Times New Roman" w:eastAsia="仿宋_GB2312" w:cs="Times New Roman"/>
                <w:color w:val="auto"/>
                <w:kern w:val="0"/>
                <w:sz w:val="24"/>
                <w:szCs w:val="24"/>
                <w:lang w:eastAsia="zh-CN"/>
              </w:rPr>
              <w:t>促进安全生产</w:t>
            </w:r>
            <w:r>
              <w:rPr>
                <w:rFonts w:hint="default" w:ascii="Times New Roman" w:hAnsi="Times New Roman" w:eastAsia="仿宋_GB2312" w:cs="Times New Roman"/>
                <w:color w:val="auto"/>
                <w:kern w:val="0"/>
                <w:sz w:val="24"/>
                <w:szCs w:val="24"/>
              </w:rPr>
              <w:t>、改善生态环境、提高人民物质文化生活水平、引领消费习惯等方面效益显著的，得6-8分</w:t>
            </w:r>
          </w:p>
          <w:p w14:paraId="738D803F">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项目引领地方特色经济、带动相关产业发展、服务社会就业、保障国家和公共安全、</w:t>
            </w:r>
            <w:r>
              <w:rPr>
                <w:rFonts w:hint="default" w:ascii="Times New Roman" w:hAnsi="Times New Roman" w:eastAsia="仿宋_GB2312" w:cs="Times New Roman"/>
                <w:color w:val="auto"/>
                <w:kern w:val="0"/>
                <w:sz w:val="24"/>
                <w:szCs w:val="24"/>
                <w:lang w:eastAsia="zh-CN"/>
              </w:rPr>
              <w:t>促进安全生产</w:t>
            </w:r>
            <w:r>
              <w:rPr>
                <w:rFonts w:hint="default" w:ascii="Times New Roman" w:hAnsi="Times New Roman" w:eastAsia="仿宋_GB2312" w:cs="Times New Roman"/>
                <w:color w:val="auto"/>
                <w:kern w:val="0"/>
                <w:sz w:val="24"/>
                <w:szCs w:val="24"/>
              </w:rPr>
              <w:t>、改善生态环境、提高人民物质文化生活水平、引领消费习惯等方面效益明显的，得4-5分</w:t>
            </w:r>
          </w:p>
          <w:p w14:paraId="32405D39">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项目对引领地方特色经济、带动相关产业发展、服务社会就业、保障国家和公共安全、</w:t>
            </w:r>
            <w:r>
              <w:rPr>
                <w:rFonts w:hint="default" w:ascii="Times New Roman" w:hAnsi="Times New Roman" w:eastAsia="仿宋_GB2312" w:cs="Times New Roman"/>
                <w:color w:val="auto"/>
                <w:kern w:val="0"/>
                <w:sz w:val="24"/>
                <w:szCs w:val="24"/>
                <w:lang w:eastAsia="zh-CN"/>
              </w:rPr>
              <w:t>促进安全生产</w:t>
            </w:r>
            <w:r>
              <w:rPr>
                <w:rFonts w:hint="default" w:ascii="Times New Roman" w:hAnsi="Times New Roman" w:eastAsia="仿宋_GB2312" w:cs="Times New Roman"/>
                <w:color w:val="auto"/>
                <w:kern w:val="0"/>
                <w:sz w:val="24"/>
                <w:szCs w:val="24"/>
              </w:rPr>
              <w:t>、改善生态环境、提高人民物质文化生活水平、引领消费习惯等方面</w:t>
            </w:r>
            <w:r>
              <w:rPr>
                <w:rFonts w:hint="default" w:ascii="Times New Roman" w:hAnsi="Times New Roman" w:eastAsia="仿宋_GB2312" w:cs="Times New Roman"/>
                <w:color w:val="auto"/>
                <w:kern w:val="0"/>
                <w:sz w:val="24"/>
                <w:szCs w:val="24"/>
                <w:lang w:val="en-US" w:eastAsia="zh-CN"/>
              </w:rPr>
              <w:t>产生</w:t>
            </w:r>
            <w:r>
              <w:rPr>
                <w:rFonts w:hint="default" w:ascii="Times New Roman" w:hAnsi="Times New Roman" w:eastAsia="仿宋_GB2312" w:cs="Times New Roman"/>
                <w:color w:val="auto"/>
                <w:kern w:val="0"/>
                <w:sz w:val="24"/>
                <w:szCs w:val="24"/>
              </w:rPr>
              <w:t>效益的，得0-3分</w:t>
            </w:r>
          </w:p>
        </w:tc>
        <w:tc>
          <w:tcPr>
            <w:tcW w:w="1600" w:type="dxa"/>
            <w:tcBorders>
              <w:tl2br w:val="nil"/>
              <w:tr2bl w:val="nil"/>
            </w:tcBorders>
            <w:noWrap w:val="0"/>
            <w:vAlign w:val="center"/>
          </w:tcPr>
          <w:p w14:paraId="492433A9">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14:paraId="5F269049">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6000B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6" w:type="dxa"/>
            <w:vMerge w:val="continue"/>
            <w:tcBorders>
              <w:tl2br w:val="nil"/>
              <w:tr2bl w:val="nil"/>
            </w:tcBorders>
            <w:noWrap w:val="0"/>
            <w:vAlign w:val="center"/>
          </w:tcPr>
          <w:p w14:paraId="70A8F97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restart"/>
            <w:tcBorders>
              <w:tl2br w:val="nil"/>
              <w:tr2bl w:val="nil"/>
            </w:tcBorders>
            <w:noWrap w:val="0"/>
            <w:vAlign w:val="center"/>
          </w:tcPr>
          <w:p w14:paraId="3BD945E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14:paraId="416BCA8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14:paraId="2C48183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发展前景</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12分</w:t>
            </w:r>
            <w:r>
              <w:rPr>
                <w:rFonts w:hint="default" w:ascii="Times New Roman" w:hAnsi="Times New Roman" w:eastAsia="仿宋_GB2312" w:cs="Times New Roman"/>
                <w:sz w:val="24"/>
                <w:szCs w:val="24"/>
              </w:rPr>
              <w:t>）</w:t>
            </w:r>
          </w:p>
        </w:tc>
        <w:tc>
          <w:tcPr>
            <w:tcW w:w="1305" w:type="dxa"/>
            <w:tcBorders>
              <w:tl2br w:val="nil"/>
              <w:tr2bl w:val="nil"/>
            </w:tcBorders>
            <w:noWrap/>
            <w:vAlign w:val="center"/>
          </w:tcPr>
          <w:p w14:paraId="4235E3E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14:paraId="20E4E71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14:paraId="3A149D5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持续投入</w:t>
            </w:r>
          </w:p>
        </w:tc>
        <w:tc>
          <w:tcPr>
            <w:tcW w:w="770" w:type="dxa"/>
            <w:tcBorders>
              <w:tl2br w:val="nil"/>
              <w:tr2bl w:val="nil"/>
            </w:tcBorders>
            <w:noWrap/>
            <w:vAlign w:val="center"/>
          </w:tcPr>
          <w:p w14:paraId="13DAE06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14:paraId="2A2BC37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14:paraId="6F72A0E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14:paraId="73F1F467">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主体围绕本项目持续开展研发活动，后继研发投入力度大的，得4-5分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主体围绕本项目持续开展研发活动，后继研发投入力度较大的，得2-3分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主体围绕本项目开展后继研发活动的，得0-1分</w:t>
            </w:r>
          </w:p>
        </w:tc>
        <w:tc>
          <w:tcPr>
            <w:tcW w:w="1600" w:type="dxa"/>
            <w:tcBorders>
              <w:tl2br w:val="nil"/>
              <w:tr2bl w:val="nil"/>
            </w:tcBorders>
            <w:noWrap w:val="0"/>
            <w:vAlign w:val="center"/>
          </w:tcPr>
          <w:p w14:paraId="6BE23A60">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14:paraId="60FC14F6">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529B8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1286" w:type="dxa"/>
            <w:vMerge w:val="continue"/>
            <w:tcBorders>
              <w:tl2br w:val="nil"/>
              <w:tr2bl w:val="nil"/>
            </w:tcBorders>
            <w:noWrap w:val="0"/>
            <w:vAlign w:val="center"/>
          </w:tcPr>
          <w:p w14:paraId="53BC900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14:paraId="69DF5F5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14:paraId="2B46793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行业</w:t>
            </w:r>
          </w:p>
          <w:p w14:paraId="2B9E0BF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影响力</w:t>
            </w:r>
          </w:p>
        </w:tc>
        <w:tc>
          <w:tcPr>
            <w:tcW w:w="770" w:type="dxa"/>
            <w:tcBorders>
              <w:tl2br w:val="nil"/>
              <w:tr2bl w:val="nil"/>
            </w:tcBorders>
            <w:noWrap/>
            <w:vAlign w:val="center"/>
          </w:tcPr>
          <w:p w14:paraId="260129C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14:paraId="7457634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14:paraId="1FAFA81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4分</w:t>
            </w:r>
          </w:p>
        </w:tc>
        <w:tc>
          <w:tcPr>
            <w:tcW w:w="6612" w:type="dxa"/>
            <w:tcBorders>
              <w:tl2br w:val="nil"/>
              <w:tr2bl w:val="nil"/>
            </w:tcBorders>
            <w:noWrap w:val="0"/>
            <w:vAlign w:val="center"/>
          </w:tcPr>
          <w:p w14:paraId="57DA5B48">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项目对行业或产业发展影响力重大，提升改造优势传统产业、推动战略新兴产业、引领未来产业等效果显著的，得4分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项目对行业或产业发展影响力大，提升改造优势传统产业、推动战略新兴产业、引领未来产业效果明显的，得2-3分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项目对行业或产业发展影响力较大，提升改造优势传统产业、推动战略新兴产业、引领未来产业有效果的，得0-1分</w:t>
            </w:r>
          </w:p>
        </w:tc>
        <w:tc>
          <w:tcPr>
            <w:tcW w:w="1600" w:type="dxa"/>
            <w:tcBorders>
              <w:tl2br w:val="nil"/>
              <w:tr2bl w:val="nil"/>
            </w:tcBorders>
            <w:noWrap w:val="0"/>
            <w:vAlign w:val="center"/>
          </w:tcPr>
          <w:p w14:paraId="48C39D9B">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14:paraId="41FE7891">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03423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continue"/>
            <w:tcBorders>
              <w:tl2br w:val="nil"/>
              <w:tr2bl w:val="nil"/>
            </w:tcBorders>
            <w:noWrap w:val="0"/>
            <w:vAlign w:val="center"/>
          </w:tcPr>
          <w:p w14:paraId="6EA5625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14:paraId="0244A4F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14:paraId="4D443DD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政策</w:t>
            </w:r>
          </w:p>
          <w:p w14:paraId="39D2488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适应性</w:t>
            </w:r>
          </w:p>
        </w:tc>
        <w:tc>
          <w:tcPr>
            <w:tcW w:w="770" w:type="dxa"/>
            <w:tcBorders>
              <w:tl2br w:val="nil"/>
              <w:tr2bl w:val="nil"/>
            </w:tcBorders>
            <w:noWrap/>
            <w:vAlign w:val="center"/>
          </w:tcPr>
          <w:p w14:paraId="73902DC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3分</w:t>
            </w:r>
          </w:p>
        </w:tc>
        <w:tc>
          <w:tcPr>
            <w:tcW w:w="6612" w:type="dxa"/>
            <w:tcBorders>
              <w:tl2br w:val="nil"/>
              <w:tr2bl w:val="nil"/>
            </w:tcBorders>
            <w:noWrap w:val="0"/>
            <w:vAlign w:val="center"/>
          </w:tcPr>
          <w:p w14:paraId="0B54D7D8">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项目获得国家产业或者创新政策、项目支持的，得3分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项目获得省部级产业或者创新政策、项目支持的，得2分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项目获得当地产业或者创新政策、项目支持的，得0-1分</w:t>
            </w:r>
          </w:p>
        </w:tc>
        <w:tc>
          <w:tcPr>
            <w:tcW w:w="1600" w:type="dxa"/>
            <w:tcBorders>
              <w:tl2br w:val="nil"/>
              <w:tr2bl w:val="nil"/>
            </w:tcBorders>
            <w:noWrap w:val="0"/>
            <w:vAlign w:val="center"/>
          </w:tcPr>
          <w:p w14:paraId="322B5448">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14:paraId="225068F0">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63D00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restart"/>
            <w:tcBorders>
              <w:tl2br w:val="nil"/>
              <w:tr2bl w:val="nil"/>
            </w:tcBorders>
            <w:noWrap w:val="0"/>
            <w:vAlign w:val="center"/>
          </w:tcPr>
          <w:p w14:paraId="5B2AC08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highlight w:val="none"/>
              </w:rPr>
              <w:t>布图设计</w:t>
            </w:r>
            <w:r>
              <w:rPr>
                <w:rFonts w:hint="default" w:ascii="Times New Roman" w:hAnsi="Times New Roman" w:eastAsia="仿宋_GB2312" w:cs="Times New Roman"/>
                <w:kern w:val="0"/>
                <w:sz w:val="24"/>
                <w:szCs w:val="24"/>
              </w:rPr>
              <w:t>运用及保护措施和成效</w:t>
            </w:r>
          </w:p>
          <w:p w14:paraId="0B2F929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25分</w:t>
            </w:r>
            <w:r>
              <w:rPr>
                <w:rFonts w:hint="default" w:ascii="Times New Roman" w:hAnsi="Times New Roman" w:eastAsia="仿宋_GB2312" w:cs="Times New Roman"/>
                <w:sz w:val="24"/>
                <w:szCs w:val="24"/>
              </w:rPr>
              <w:t>）</w:t>
            </w:r>
          </w:p>
        </w:tc>
        <w:tc>
          <w:tcPr>
            <w:tcW w:w="1183" w:type="dxa"/>
            <w:vMerge w:val="restart"/>
            <w:tcBorders>
              <w:tl2br w:val="nil"/>
              <w:tr2bl w:val="nil"/>
            </w:tcBorders>
            <w:noWrap w:val="0"/>
            <w:vAlign w:val="center"/>
          </w:tcPr>
          <w:p w14:paraId="73CA7EF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布图设计运用</w:t>
            </w:r>
          </w:p>
          <w:p w14:paraId="21DF059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10分</w:t>
            </w:r>
            <w:r>
              <w:rPr>
                <w:rFonts w:hint="default" w:ascii="Times New Roman" w:hAnsi="Times New Roman" w:eastAsia="仿宋_GB2312" w:cs="Times New Roman"/>
                <w:sz w:val="24"/>
                <w:szCs w:val="24"/>
              </w:rPr>
              <w:t>）</w:t>
            </w:r>
          </w:p>
        </w:tc>
        <w:tc>
          <w:tcPr>
            <w:tcW w:w="1305" w:type="dxa"/>
            <w:tcBorders>
              <w:tl2br w:val="nil"/>
              <w:tr2bl w:val="nil"/>
            </w:tcBorders>
            <w:noWrap/>
            <w:vAlign w:val="center"/>
          </w:tcPr>
          <w:p w14:paraId="7FDA4FB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布图设计实施</w:t>
            </w:r>
          </w:p>
        </w:tc>
        <w:tc>
          <w:tcPr>
            <w:tcW w:w="770" w:type="dxa"/>
            <w:tcBorders>
              <w:tl2br w:val="nil"/>
              <w:tr2bl w:val="nil"/>
            </w:tcBorders>
            <w:noWrap/>
            <w:vAlign w:val="center"/>
          </w:tcPr>
          <w:p w14:paraId="10AE4AA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14:paraId="7DBDCD96">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lang w:eastAsia="zh-CN"/>
              </w:rPr>
              <w:t>项目实施</w:t>
            </w:r>
            <w:r>
              <w:rPr>
                <w:rFonts w:hint="default" w:ascii="Times New Roman" w:hAnsi="Times New Roman" w:eastAsia="仿宋_GB2312" w:cs="Times New Roman"/>
                <w:color w:val="auto"/>
                <w:sz w:val="24"/>
                <w:szCs w:val="24"/>
              </w:rPr>
              <w:t>或</w:t>
            </w:r>
            <w:r>
              <w:rPr>
                <w:rFonts w:hint="default" w:ascii="Times New Roman" w:hAnsi="Times New Roman" w:eastAsia="仿宋_GB2312" w:cs="Times New Roman"/>
                <w:color w:val="auto"/>
                <w:sz w:val="24"/>
                <w:szCs w:val="24"/>
                <w:lang w:eastAsia="zh-CN"/>
              </w:rPr>
              <w:t>许可他人实施</w:t>
            </w:r>
            <w:r>
              <w:rPr>
                <w:rFonts w:hint="default" w:ascii="Times New Roman" w:hAnsi="Times New Roman" w:eastAsia="仿宋_GB2312" w:cs="Times New Roman"/>
                <w:color w:val="auto"/>
                <w:sz w:val="24"/>
                <w:szCs w:val="24"/>
              </w:rPr>
              <w:t>等成效显著的，得4-5分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项目实施或</w:t>
            </w:r>
            <w:r>
              <w:rPr>
                <w:rFonts w:hint="default" w:ascii="Times New Roman" w:hAnsi="Times New Roman" w:eastAsia="仿宋_GB2312" w:cs="Times New Roman"/>
                <w:color w:val="auto"/>
                <w:sz w:val="24"/>
                <w:szCs w:val="24"/>
                <w:lang w:eastAsia="zh-CN"/>
              </w:rPr>
              <w:t>许可他人实施</w:t>
            </w:r>
            <w:r>
              <w:rPr>
                <w:rFonts w:hint="default" w:ascii="Times New Roman" w:hAnsi="Times New Roman" w:eastAsia="仿宋_GB2312" w:cs="Times New Roman"/>
                <w:color w:val="auto"/>
                <w:sz w:val="24"/>
                <w:szCs w:val="24"/>
              </w:rPr>
              <w:t>等成效明显的，得2-3分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lang w:eastAsia="zh-CN"/>
              </w:rPr>
              <w:t>项目实施</w:t>
            </w:r>
            <w:r>
              <w:rPr>
                <w:rFonts w:hint="default" w:ascii="Times New Roman" w:hAnsi="Times New Roman" w:eastAsia="仿宋_GB2312" w:cs="Times New Roman"/>
                <w:color w:val="auto"/>
                <w:sz w:val="24"/>
                <w:szCs w:val="24"/>
              </w:rPr>
              <w:t>或</w:t>
            </w:r>
            <w:r>
              <w:rPr>
                <w:rFonts w:hint="default" w:ascii="Times New Roman" w:hAnsi="Times New Roman" w:eastAsia="仿宋_GB2312" w:cs="Times New Roman"/>
                <w:color w:val="auto"/>
                <w:sz w:val="24"/>
                <w:szCs w:val="24"/>
                <w:lang w:eastAsia="zh-CN"/>
              </w:rPr>
              <w:t>许可他人实施</w:t>
            </w:r>
            <w:r>
              <w:rPr>
                <w:rFonts w:hint="default" w:ascii="Times New Roman" w:hAnsi="Times New Roman" w:eastAsia="仿宋_GB2312" w:cs="Times New Roman"/>
                <w:color w:val="auto"/>
                <w:sz w:val="24"/>
                <w:szCs w:val="24"/>
              </w:rPr>
              <w:t>等有一定成效的，得0-1分</w:t>
            </w:r>
          </w:p>
        </w:tc>
        <w:tc>
          <w:tcPr>
            <w:tcW w:w="1600" w:type="dxa"/>
            <w:tcBorders>
              <w:tl2br w:val="nil"/>
              <w:tr2bl w:val="nil"/>
            </w:tcBorders>
            <w:noWrap w:val="0"/>
            <w:vAlign w:val="center"/>
          </w:tcPr>
          <w:p w14:paraId="63900068">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984" w:type="dxa"/>
            <w:vMerge w:val="restart"/>
            <w:tcBorders>
              <w:tl2br w:val="nil"/>
              <w:tr2bl w:val="nil"/>
            </w:tcBorders>
            <w:noWrap/>
            <w:vAlign w:val="center"/>
          </w:tcPr>
          <w:p w14:paraId="784DA4B2">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1.提供</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color w:val="C00000"/>
                <w:kern w:val="0"/>
                <w:sz w:val="24"/>
                <w:szCs w:val="24"/>
                <w:lang w:val="en-US" w:eastAsia="zh-CN" w:bidi="ar"/>
              </w:rPr>
              <w:t>运用及保护措施</w:t>
            </w:r>
            <w:r>
              <w:rPr>
                <w:rFonts w:hint="default" w:ascii="Times New Roman" w:hAnsi="Times New Roman" w:eastAsia="仿宋_GB2312" w:cs="Times New Roman"/>
                <w:b w:val="0"/>
                <w:bCs/>
                <w:i w:val="0"/>
                <w:color w:val="C00000"/>
                <w:kern w:val="2"/>
                <w:sz w:val="24"/>
                <w:szCs w:val="24"/>
                <w:lang w:val="en-US" w:eastAsia="zh-CN" w:bidi="ar"/>
              </w:rPr>
              <w:t>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i w:val="0"/>
                <w:color w:val="C00000"/>
                <w:kern w:val="2"/>
                <w:sz w:val="24"/>
                <w:szCs w:val="24"/>
                <w:lang w:val="en-US" w:eastAsia="zh-CN" w:bidi="ar"/>
              </w:rPr>
              <w:t>不超过2000字），围绕</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运用和保护，重点说明被</w:t>
            </w:r>
            <w:r>
              <w:rPr>
                <w:rFonts w:hint="eastAsia" w:eastAsia="仿宋_GB2312" w:cs="Times New Roman"/>
                <w:b w:val="0"/>
                <w:bCs/>
                <w:i w:val="0"/>
                <w:color w:val="C00000"/>
                <w:kern w:val="2"/>
                <w:sz w:val="24"/>
                <w:szCs w:val="24"/>
                <w:lang w:val="en-US" w:eastAsia="zh-CN" w:bidi="ar"/>
              </w:rPr>
              <w:t>推荐</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的实施、运营、保护、布局和管理等情况。</w:t>
            </w:r>
          </w:p>
          <w:p w14:paraId="506DF1C7">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i w:val="0"/>
                <w:color w:val="C00000"/>
                <w:kern w:val="2"/>
                <w:sz w:val="24"/>
                <w:szCs w:val="24"/>
                <w:lang w:val="en-US" w:eastAsia="zh-CN" w:bidi="ar"/>
              </w:rPr>
              <w:t>2.提供项目运用和保护相关证明</w:t>
            </w:r>
            <w:r>
              <w:rPr>
                <w:rFonts w:hint="default" w:ascii="Times New Roman" w:hAnsi="Times New Roman" w:eastAsia="仿宋_GB2312" w:cs="Times New Roman"/>
                <w:b w:val="0"/>
                <w:bCs/>
                <w:i w:val="0"/>
                <w:color w:val="C00000"/>
                <w:kern w:val="2"/>
                <w:sz w:val="24"/>
                <w:szCs w:val="24"/>
                <w:lang w:eastAsia="zh-CN" w:bidi="ar"/>
              </w:rPr>
              <w:t>。</w:t>
            </w:r>
          </w:p>
        </w:tc>
      </w:tr>
      <w:tr w14:paraId="6B35C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continue"/>
            <w:tcBorders>
              <w:tl2br w:val="nil"/>
              <w:tr2bl w:val="nil"/>
            </w:tcBorders>
            <w:noWrap w:val="0"/>
            <w:vAlign w:val="center"/>
          </w:tcPr>
          <w:p w14:paraId="100ED35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14:paraId="668B219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14:paraId="734F18F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布图设计运营</w:t>
            </w:r>
          </w:p>
        </w:tc>
        <w:tc>
          <w:tcPr>
            <w:tcW w:w="770" w:type="dxa"/>
            <w:tcBorders>
              <w:tl2br w:val="nil"/>
              <w:tr2bl w:val="nil"/>
            </w:tcBorders>
            <w:noWrap/>
            <w:vAlign w:val="center"/>
          </w:tcPr>
          <w:p w14:paraId="394A9C1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14:paraId="2428170F">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项目作价入股、质押融资、证券化、IPO上市等成效显著的，得4-5分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项目作价入股、质押融资、证券化、IPO上市等成效明显的，得2-3分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项目作价入股、质押融资、证券化、IPO上市等有一定成效的，得0-1分</w:t>
            </w:r>
          </w:p>
        </w:tc>
        <w:tc>
          <w:tcPr>
            <w:tcW w:w="1600" w:type="dxa"/>
            <w:tcBorders>
              <w:tl2br w:val="nil"/>
              <w:tr2bl w:val="nil"/>
            </w:tcBorders>
            <w:noWrap w:val="0"/>
            <w:vAlign w:val="center"/>
          </w:tcPr>
          <w:p w14:paraId="06C4DB61">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984" w:type="dxa"/>
            <w:vMerge w:val="continue"/>
            <w:tcBorders>
              <w:tl2br w:val="nil"/>
              <w:tr2bl w:val="nil"/>
            </w:tcBorders>
            <w:noWrap/>
            <w:vAlign w:val="center"/>
          </w:tcPr>
          <w:p w14:paraId="702BF56C">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14:paraId="578F0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6" w:type="dxa"/>
            <w:vMerge w:val="continue"/>
            <w:tcBorders>
              <w:tl2br w:val="nil"/>
              <w:tr2bl w:val="nil"/>
            </w:tcBorders>
            <w:noWrap w:val="0"/>
            <w:vAlign w:val="center"/>
          </w:tcPr>
          <w:p w14:paraId="2900485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restart"/>
            <w:tcBorders>
              <w:tl2br w:val="nil"/>
              <w:tr2bl w:val="nil"/>
            </w:tcBorders>
            <w:noWrap w:val="0"/>
            <w:vAlign w:val="center"/>
          </w:tcPr>
          <w:p w14:paraId="7B71CC7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布图设计保护举措</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15分</w:t>
            </w:r>
            <w:r>
              <w:rPr>
                <w:rFonts w:hint="default" w:ascii="Times New Roman" w:hAnsi="Times New Roman" w:eastAsia="仿宋_GB2312" w:cs="Times New Roman"/>
                <w:sz w:val="24"/>
                <w:szCs w:val="24"/>
              </w:rPr>
              <w:t>）</w:t>
            </w:r>
          </w:p>
        </w:tc>
        <w:tc>
          <w:tcPr>
            <w:tcW w:w="1305" w:type="dxa"/>
            <w:tcBorders>
              <w:tl2br w:val="nil"/>
              <w:tr2bl w:val="nil"/>
            </w:tcBorders>
            <w:noWrap/>
            <w:vAlign w:val="center"/>
          </w:tcPr>
          <w:p w14:paraId="19CE160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保护措施</w:t>
            </w:r>
          </w:p>
        </w:tc>
        <w:tc>
          <w:tcPr>
            <w:tcW w:w="770" w:type="dxa"/>
            <w:tcBorders>
              <w:tl2br w:val="nil"/>
              <w:tr2bl w:val="nil"/>
            </w:tcBorders>
            <w:noWrap/>
            <w:vAlign w:val="center"/>
          </w:tcPr>
          <w:p w14:paraId="22A636A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6分</w:t>
            </w:r>
          </w:p>
        </w:tc>
        <w:tc>
          <w:tcPr>
            <w:tcW w:w="6612" w:type="dxa"/>
            <w:tcBorders>
              <w:tl2br w:val="nil"/>
              <w:tr2bl w:val="nil"/>
            </w:tcBorders>
            <w:noWrap w:val="0"/>
            <w:vAlign w:val="center"/>
          </w:tcPr>
          <w:p w14:paraId="6F757C2A">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主体知识产权保护举措健全完善，制度建设和人员配置专业到位，开展维权与诉讼如主动维权或无效宣告维持有效、侵权诉讼或确认不侵权诉讼等效果显著的，得5-6分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主体已建立知识产权保护制度，配备相关工作人员，开展维权与诉讼如主动维权或无效宣告维持有效、侵权诉讼或确认不侵权诉讼等效果明显的，得3-4分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主体已建立知识产权保护制度，开展维权与诉讼如主动维权或无效宣告维持有效、侵权诉讼或确认不侵权诉讼等有一定效果的，得0-2分</w:t>
            </w:r>
          </w:p>
        </w:tc>
        <w:tc>
          <w:tcPr>
            <w:tcW w:w="1600" w:type="dxa"/>
            <w:tcBorders>
              <w:tl2br w:val="nil"/>
              <w:tr2bl w:val="nil"/>
            </w:tcBorders>
            <w:noWrap w:val="0"/>
            <w:vAlign w:val="center"/>
          </w:tcPr>
          <w:p w14:paraId="7CD6A315">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984" w:type="dxa"/>
            <w:vMerge w:val="continue"/>
            <w:tcBorders>
              <w:tl2br w:val="nil"/>
              <w:tr2bl w:val="nil"/>
            </w:tcBorders>
            <w:noWrap/>
            <w:vAlign w:val="center"/>
          </w:tcPr>
          <w:p w14:paraId="4B991EAF">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14:paraId="3DE09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continue"/>
            <w:tcBorders>
              <w:tl2br w:val="nil"/>
              <w:tr2bl w:val="nil"/>
            </w:tcBorders>
            <w:noWrap w:val="0"/>
            <w:vAlign w:val="center"/>
          </w:tcPr>
          <w:p w14:paraId="3FDC487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14:paraId="1690101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14:paraId="197F3D6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lang w:val="en-US" w:eastAsia="zh-CN" w:bidi="ar-SA"/>
              </w:rPr>
            </w:pPr>
            <w:r>
              <w:rPr>
                <w:rFonts w:hint="default" w:ascii="Times New Roman" w:hAnsi="Times New Roman" w:eastAsia="仿宋_GB2312" w:cs="Times New Roman"/>
                <w:kern w:val="0"/>
                <w:sz w:val="24"/>
                <w:szCs w:val="24"/>
              </w:rPr>
              <w:t>知识产权布局</w:t>
            </w:r>
          </w:p>
        </w:tc>
        <w:tc>
          <w:tcPr>
            <w:tcW w:w="770" w:type="dxa"/>
            <w:tcBorders>
              <w:tl2br w:val="nil"/>
              <w:tr2bl w:val="nil"/>
            </w:tcBorders>
            <w:noWrap/>
            <w:vAlign w:val="center"/>
          </w:tcPr>
          <w:p w14:paraId="03EC3DF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lang w:val="en-US" w:eastAsia="zh-CN" w:bidi="ar-SA"/>
              </w:rPr>
            </w:pPr>
            <w:r>
              <w:rPr>
                <w:rFonts w:hint="default" w:ascii="Times New Roman" w:hAnsi="Times New Roman" w:eastAsia="仿宋_GB2312" w:cs="Times New Roman"/>
                <w:kern w:val="0"/>
                <w:sz w:val="24"/>
                <w:szCs w:val="24"/>
              </w:rPr>
              <w:t>6分</w:t>
            </w:r>
          </w:p>
        </w:tc>
        <w:tc>
          <w:tcPr>
            <w:tcW w:w="6612" w:type="dxa"/>
            <w:tcBorders>
              <w:tl2br w:val="nil"/>
              <w:tr2bl w:val="nil"/>
            </w:tcBorders>
            <w:noWrap w:val="0"/>
            <w:vAlign w:val="center"/>
          </w:tcPr>
          <w:p w14:paraId="6CD2B09F">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主体开展风险预警、FTO（技术自由实施）尽调及规避设计，知识产权布局效果显著的，得5-6分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主体开展风险预警、FTO（技术自由实施）尽调及规避设计，知识产权布局效果明显的，得3-4分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主体开展风险预警、FTO（技术自由实施）尽调及规避设计，知识产权布局有一定效果的，得0-2分</w:t>
            </w:r>
          </w:p>
        </w:tc>
        <w:tc>
          <w:tcPr>
            <w:tcW w:w="1600" w:type="dxa"/>
            <w:tcBorders>
              <w:tl2br w:val="nil"/>
              <w:tr2bl w:val="nil"/>
            </w:tcBorders>
            <w:noWrap w:val="0"/>
            <w:vAlign w:val="center"/>
          </w:tcPr>
          <w:p w14:paraId="666F6566">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984" w:type="dxa"/>
            <w:vMerge w:val="continue"/>
            <w:tcBorders>
              <w:tl2br w:val="nil"/>
              <w:tr2bl w:val="nil"/>
            </w:tcBorders>
            <w:noWrap/>
            <w:vAlign w:val="center"/>
          </w:tcPr>
          <w:p w14:paraId="09569A6F">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14:paraId="42B98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continue"/>
            <w:tcBorders>
              <w:tl2br w:val="nil"/>
              <w:tr2bl w:val="nil"/>
            </w:tcBorders>
            <w:noWrap w:val="0"/>
            <w:vAlign w:val="center"/>
          </w:tcPr>
          <w:p w14:paraId="658B96A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14:paraId="45088D8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14:paraId="41CA472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lang w:val="en-US" w:eastAsia="zh-CN" w:bidi="ar-SA"/>
              </w:rPr>
            </w:pPr>
            <w:r>
              <w:rPr>
                <w:rFonts w:hint="default" w:ascii="Times New Roman" w:hAnsi="Times New Roman" w:eastAsia="仿宋_GB2312" w:cs="Times New Roman"/>
                <w:kern w:val="0"/>
                <w:sz w:val="24"/>
                <w:szCs w:val="24"/>
              </w:rPr>
              <w:t>管理规范</w:t>
            </w:r>
          </w:p>
        </w:tc>
        <w:tc>
          <w:tcPr>
            <w:tcW w:w="770" w:type="dxa"/>
            <w:tcBorders>
              <w:tl2br w:val="nil"/>
              <w:tr2bl w:val="nil"/>
            </w:tcBorders>
            <w:noWrap/>
            <w:vAlign w:val="center"/>
          </w:tcPr>
          <w:p w14:paraId="5441E4C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lang w:val="en-US" w:eastAsia="zh-CN" w:bidi="ar-SA"/>
              </w:rPr>
            </w:pPr>
            <w:r>
              <w:rPr>
                <w:rFonts w:hint="default" w:ascii="Times New Roman" w:hAnsi="Times New Roman" w:eastAsia="仿宋_GB2312" w:cs="Times New Roman"/>
                <w:kern w:val="0"/>
                <w:sz w:val="24"/>
                <w:szCs w:val="24"/>
              </w:rPr>
              <w:t>3分</w:t>
            </w:r>
          </w:p>
        </w:tc>
        <w:tc>
          <w:tcPr>
            <w:tcW w:w="6612" w:type="dxa"/>
            <w:tcBorders>
              <w:tl2br w:val="nil"/>
              <w:tr2bl w:val="nil"/>
            </w:tcBorders>
            <w:noWrap w:val="0"/>
            <w:vAlign w:val="center"/>
          </w:tcPr>
          <w:p w14:paraId="00117E5E">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主体有效贯彻实施国家知识产权管理标准和创新管理与知识产权国际标准（ISO56005/56002）的，得3分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主体有效贯彻实施国家知识产权管理标准或创新管理与知识产权国际标准（ISO56005/56002）的，得2分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主体贯彻实施知识产权管理标准的，得0-1分</w:t>
            </w:r>
          </w:p>
        </w:tc>
        <w:tc>
          <w:tcPr>
            <w:tcW w:w="1600" w:type="dxa"/>
            <w:tcBorders>
              <w:tl2br w:val="nil"/>
              <w:tr2bl w:val="nil"/>
            </w:tcBorders>
            <w:noWrap w:val="0"/>
            <w:vAlign w:val="center"/>
          </w:tcPr>
          <w:p w14:paraId="4C2014C3">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984" w:type="dxa"/>
            <w:vMerge w:val="continue"/>
            <w:tcBorders>
              <w:tl2br w:val="nil"/>
              <w:tr2bl w:val="nil"/>
            </w:tcBorders>
            <w:noWrap/>
            <w:vAlign w:val="center"/>
          </w:tcPr>
          <w:p w14:paraId="7E128ABA">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bl>
    <w:p w14:paraId="4573EBCD">
      <w:pPr>
        <w:pStyle w:val="7"/>
      </w:pPr>
    </w:p>
    <w:sectPr>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3E90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C433A7">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3C433A7">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6FA104"/>
    <w:multiLevelType w:val="singleLevel"/>
    <w:tmpl w:val="FC6FA104"/>
    <w:lvl w:ilvl="0" w:tentative="0">
      <w:start w:val="1"/>
      <w:numFmt w:val="decimal"/>
      <w:lvlText w:val="%1."/>
      <w:lvlJc w:val="left"/>
      <w:pPr>
        <w:tabs>
          <w:tab w:val="left" w:pos="312"/>
        </w:tabs>
      </w:pPr>
    </w:lvl>
  </w:abstractNum>
  <w:abstractNum w:abstractNumId="1">
    <w:nsid w:val="1FFBAFF9"/>
    <w:multiLevelType w:val="singleLevel"/>
    <w:tmpl w:val="1FFBAFF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2527CE9"/>
    <w:rsid w:val="076C5616"/>
    <w:rsid w:val="099F5C8C"/>
    <w:rsid w:val="0A064E4E"/>
    <w:rsid w:val="0C9D2956"/>
    <w:rsid w:val="0CB53EF5"/>
    <w:rsid w:val="0D874FB6"/>
    <w:rsid w:val="0F1F3E79"/>
    <w:rsid w:val="111D1CF5"/>
    <w:rsid w:val="113B4ECC"/>
    <w:rsid w:val="1B4B2CAB"/>
    <w:rsid w:val="1FF266BE"/>
    <w:rsid w:val="20E72AE4"/>
    <w:rsid w:val="22635488"/>
    <w:rsid w:val="22A54D19"/>
    <w:rsid w:val="23BA40B7"/>
    <w:rsid w:val="254D2D75"/>
    <w:rsid w:val="26D7071F"/>
    <w:rsid w:val="28813232"/>
    <w:rsid w:val="2A9A1E2C"/>
    <w:rsid w:val="2B662B2C"/>
    <w:rsid w:val="2D176755"/>
    <w:rsid w:val="2D620CD9"/>
    <w:rsid w:val="302042DA"/>
    <w:rsid w:val="304E0ADD"/>
    <w:rsid w:val="33237826"/>
    <w:rsid w:val="33E54C39"/>
    <w:rsid w:val="37AF69ED"/>
    <w:rsid w:val="37DDEF6E"/>
    <w:rsid w:val="38740160"/>
    <w:rsid w:val="38AB633B"/>
    <w:rsid w:val="3B5B329B"/>
    <w:rsid w:val="3B9A7C70"/>
    <w:rsid w:val="3DE63216"/>
    <w:rsid w:val="3E0C5981"/>
    <w:rsid w:val="3EB07ACB"/>
    <w:rsid w:val="3EEB4512"/>
    <w:rsid w:val="3EF43619"/>
    <w:rsid w:val="3F5B0680"/>
    <w:rsid w:val="3F634A8A"/>
    <w:rsid w:val="3F9B61DB"/>
    <w:rsid w:val="458A4B1F"/>
    <w:rsid w:val="4899611F"/>
    <w:rsid w:val="4EF808B9"/>
    <w:rsid w:val="50E32F8C"/>
    <w:rsid w:val="530F62AD"/>
    <w:rsid w:val="55CF2878"/>
    <w:rsid w:val="5BEDEDC3"/>
    <w:rsid w:val="5DEBF48B"/>
    <w:rsid w:val="5FDE5679"/>
    <w:rsid w:val="620767D9"/>
    <w:rsid w:val="62472F1D"/>
    <w:rsid w:val="68185C8F"/>
    <w:rsid w:val="69280D60"/>
    <w:rsid w:val="6A575CF6"/>
    <w:rsid w:val="6BF2F0ED"/>
    <w:rsid w:val="6F125A01"/>
    <w:rsid w:val="6FCFC5F1"/>
    <w:rsid w:val="6FD139CA"/>
    <w:rsid w:val="6FE8A390"/>
    <w:rsid w:val="71CE3081"/>
    <w:rsid w:val="72AB324F"/>
    <w:rsid w:val="73B71222"/>
    <w:rsid w:val="755779F4"/>
    <w:rsid w:val="760B71BC"/>
    <w:rsid w:val="777D4B52"/>
    <w:rsid w:val="77CD7CE7"/>
    <w:rsid w:val="7BCE5CBA"/>
    <w:rsid w:val="7C530EBB"/>
    <w:rsid w:val="7C7D48F8"/>
    <w:rsid w:val="7CFCC596"/>
    <w:rsid w:val="7EDF98D5"/>
    <w:rsid w:val="7FA14A0E"/>
    <w:rsid w:val="7FBFF45F"/>
    <w:rsid w:val="7FD5DB06"/>
    <w:rsid w:val="7FFDDC47"/>
    <w:rsid w:val="D29D4073"/>
    <w:rsid w:val="D7EFA85E"/>
    <w:rsid w:val="F5AFD953"/>
    <w:rsid w:val="F7CF6901"/>
    <w:rsid w:val="F9FBEAD8"/>
    <w:rsid w:val="FF6F60FF"/>
    <w:rsid w:val="FFAC765F"/>
    <w:rsid w:val="FFBE3A27"/>
    <w:rsid w:val="FFDBDA50"/>
    <w:rsid w:val="FFEE5B26"/>
    <w:rsid w:val="FFFC68BB"/>
    <w:rsid w:val="FFFF781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jc w:val="center"/>
      <w:outlineLvl w:val="0"/>
    </w:pPr>
    <w:rPr>
      <w:rFonts w:ascii="方正小标宋简体" w:eastAsia="方正小标宋简体"/>
      <w:sz w:val="44"/>
      <w:szCs w:val="44"/>
    </w:rPr>
  </w:style>
  <w:style w:type="character" w:default="1" w:styleId="10">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99"/>
    <w:pPr>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qFormat/>
    <w:uiPriority w:val="0"/>
    <w:pPr>
      <w:spacing w:line="500" w:lineRule="exact"/>
      <w:ind w:firstLine="420"/>
    </w:pPr>
    <w:rPr>
      <w:rFonts w:eastAsia="宋体"/>
      <w:sz w:val="32"/>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font51"/>
    <w:basedOn w:val="10"/>
    <w:qFormat/>
    <w:uiPriority w:val="0"/>
    <w:rPr>
      <w:rFonts w:hint="eastAsia" w:ascii="仿宋_GB2312" w:eastAsia="仿宋_GB2312" w:cs="仿宋_GB2312"/>
      <w:color w:val="FF0000"/>
      <w:sz w:val="22"/>
      <w:szCs w:val="22"/>
      <w:u w:val="none"/>
    </w:rPr>
  </w:style>
  <w:style w:type="character" w:customStyle="1" w:styleId="13">
    <w:name w:val="font41"/>
    <w:basedOn w:val="10"/>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3462</Words>
  <Characters>3628</Characters>
  <Lines>1</Lines>
  <Paragraphs>1</Paragraphs>
  <TotalTime>0</TotalTime>
  <ScaleCrop>false</ScaleCrop>
  <LinksUpToDate>false</LinksUpToDate>
  <CharactersWithSpaces>3628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2022-10-17T06:54:00Z</dcterms:created>
  <dc:creator>井的男朋友</dc:creator>
  <cp:lastModifiedBy>Jocelyn</cp:lastModifiedBy>
  <dcterms:modified xsi:type="dcterms:W3CDTF">2025-10-27T06:32:09Z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DCA17AFC13A84B29B83BEEFBA6F9CBCB</vt:lpwstr>
  </property>
  <property fmtid="{D5CDD505-2E9C-101B-9397-08002B2CF9AE}" pid="4" name="woTemplateTypoMode" linkTarget="0">
    <vt:lpwstr>web</vt:lpwstr>
  </property>
  <property fmtid="{D5CDD505-2E9C-101B-9397-08002B2CF9AE}" pid="5" name="woTemplate" linkTarget="0">
    <vt:i4>1</vt:i4>
  </property>
  <property fmtid="{D5CDD505-2E9C-101B-9397-08002B2CF9AE}" pid="6" name="KSOTemplateDocerSaveRecord">
    <vt:lpwstr>eyJoZGlkIjoiZjhkMmNiN2E2NTY1N2ZmNTYzMTQyNTAwOTM3N2JhNDEiLCJ1c2VySWQiOiI0MjYxMjYxNjMifQ==</vt:lpwstr>
  </property>
</Properties>
</file>